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E66C" w14:textId="0C1A5D5C" w:rsidR="007A00A6" w:rsidRDefault="00775E37" w:rsidP="000D30F1">
      <w:pPr>
        <w:spacing w:before="60"/>
        <w:rPr>
          <w:b/>
        </w:rPr>
      </w:pPr>
      <w:r>
        <w:rPr>
          <w:b/>
        </w:rPr>
        <w:t>APPENDIX A</w:t>
      </w:r>
      <w:r w:rsidR="007A00A6">
        <w:rPr>
          <w:b/>
        </w:rPr>
        <w:t xml:space="preserve">: </w:t>
      </w:r>
      <w:r>
        <w:rPr>
          <w:b/>
        </w:rPr>
        <w:t>DRINKING WATER STATE REVOLVING FUND – ADDIT</w:t>
      </w:r>
      <w:r w:rsidR="00C51AD4">
        <w:rPr>
          <w:b/>
        </w:rPr>
        <w:t>I</w:t>
      </w:r>
      <w:r>
        <w:rPr>
          <w:b/>
        </w:rPr>
        <w:t>ONAL PWS FINANCIAL INFORMATION</w:t>
      </w:r>
    </w:p>
    <w:p w14:paraId="1CC015CC" w14:textId="57B704DC" w:rsidR="00A418F0" w:rsidRPr="00A418F0" w:rsidRDefault="00A418F0" w:rsidP="007A00A6">
      <w:r>
        <w:t>The following additional financial information will be required of all borrowers in order to obtain funding through the Drinking Water State</w:t>
      </w:r>
      <w:r w:rsidR="004201CE">
        <w:t xml:space="preserve"> Revolving Fund (DWSRF) Program i</w:t>
      </w:r>
      <w:r w:rsidR="00EC5604">
        <w:t>n order</w:t>
      </w:r>
      <w:r>
        <w:t xml:space="preserve"> to evaluate the financial viability of the PWS to repay a loan. This information is not necessary to be included in the Asset and Fiscal Management Plan, however, it recommended to gather this information if you are considering seeking funding from the DWSRF.</w:t>
      </w:r>
    </w:p>
    <w:tbl>
      <w:tblPr>
        <w:tblStyle w:val="TableGrid"/>
        <w:tblW w:w="4653" w:type="pct"/>
        <w:tblInd w:w="5" w:type="dxa"/>
        <w:tblLook w:val="04A0" w:firstRow="1" w:lastRow="0" w:firstColumn="1" w:lastColumn="0" w:noHBand="0" w:noVBand="1"/>
      </w:tblPr>
      <w:tblGrid>
        <w:gridCol w:w="2700"/>
        <w:gridCol w:w="4231"/>
        <w:gridCol w:w="958"/>
        <w:gridCol w:w="1919"/>
        <w:gridCol w:w="1078"/>
        <w:gridCol w:w="1979"/>
      </w:tblGrid>
      <w:tr w:rsidR="00042F52" w14:paraId="6CC29587" w14:textId="77777777" w:rsidTr="00042F52">
        <w:trPr>
          <w:trHeight w:val="288"/>
        </w:trPr>
        <w:tc>
          <w:tcPr>
            <w:tcW w:w="1049" w:type="pct"/>
            <w:tcBorders>
              <w:top w:val="nil"/>
              <w:left w:val="nil"/>
              <w:bottom w:val="nil"/>
              <w:right w:val="nil"/>
            </w:tcBorders>
            <w:vAlign w:val="bottom"/>
          </w:tcPr>
          <w:p w14:paraId="5FCBEB2D" w14:textId="5789E26D" w:rsidR="00042F52" w:rsidRDefault="00042F52" w:rsidP="00F97FEB">
            <w:pPr>
              <w:ind w:left="-113"/>
              <w:rPr>
                <w:b/>
              </w:rPr>
            </w:pPr>
            <w:r w:rsidRPr="00D13A1C">
              <w:rPr>
                <w:b/>
              </w:rPr>
              <w:t>Public Water System Name:</w:t>
            </w:r>
          </w:p>
        </w:tc>
        <w:tc>
          <w:tcPr>
            <w:tcW w:w="1644" w:type="pct"/>
            <w:tcBorders>
              <w:top w:val="nil"/>
              <w:left w:val="nil"/>
              <w:bottom w:val="single" w:sz="4" w:space="0" w:color="auto"/>
              <w:right w:val="nil"/>
            </w:tcBorders>
          </w:tcPr>
          <w:p w14:paraId="2D0A1A1B" w14:textId="77777777" w:rsidR="00042F52" w:rsidRDefault="00042F52" w:rsidP="000E3F33"/>
        </w:tc>
        <w:tc>
          <w:tcPr>
            <w:tcW w:w="372" w:type="pct"/>
            <w:tcBorders>
              <w:top w:val="nil"/>
              <w:left w:val="nil"/>
              <w:bottom w:val="nil"/>
              <w:right w:val="nil"/>
            </w:tcBorders>
          </w:tcPr>
          <w:p w14:paraId="779841D7" w14:textId="24814F1E" w:rsidR="00042F52" w:rsidRDefault="00042F52" w:rsidP="000E3F33">
            <w:pPr>
              <w:jc w:val="right"/>
              <w:rPr>
                <w:b/>
              </w:rPr>
            </w:pPr>
            <w:r w:rsidRPr="00D13A1C">
              <w:rPr>
                <w:b/>
              </w:rPr>
              <w:t>PWSID:</w:t>
            </w:r>
          </w:p>
        </w:tc>
        <w:tc>
          <w:tcPr>
            <w:tcW w:w="746" w:type="pct"/>
            <w:tcBorders>
              <w:top w:val="nil"/>
              <w:left w:val="nil"/>
              <w:bottom w:val="single" w:sz="4" w:space="0" w:color="auto"/>
              <w:right w:val="nil"/>
            </w:tcBorders>
          </w:tcPr>
          <w:p w14:paraId="2722D29D" w14:textId="77777777" w:rsidR="00042F52" w:rsidRDefault="00042F52" w:rsidP="000E3F33"/>
        </w:tc>
        <w:tc>
          <w:tcPr>
            <w:tcW w:w="419" w:type="pct"/>
            <w:tcBorders>
              <w:top w:val="nil"/>
              <w:left w:val="nil"/>
              <w:bottom w:val="nil"/>
              <w:right w:val="nil"/>
            </w:tcBorders>
          </w:tcPr>
          <w:p w14:paraId="7DF68E19" w14:textId="0A0BEAC1" w:rsidR="00042F52" w:rsidRDefault="00042F52" w:rsidP="00775E37">
            <w:pPr>
              <w:jc w:val="right"/>
              <w:rPr>
                <w:b/>
              </w:rPr>
            </w:pPr>
            <w:r w:rsidRPr="00D13A1C">
              <w:rPr>
                <w:b/>
              </w:rPr>
              <w:t>Date:</w:t>
            </w:r>
          </w:p>
        </w:tc>
        <w:tc>
          <w:tcPr>
            <w:tcW w:w="769" w:type="pct"/>
            <w:tcBorders>
              <w:top w:val="nil"/>
              <w:left w:val="nil"/>
              <w:bottom w:val="single" w:sz="4" w:space="0" w:color="auto"/>
              <w:right w:val="nil"/>
            </w:tcBorders>
          </w:tcPr>
          <w:p w14:paraId="4C2940E2" w14:textId="01ADF7E6" w:rsidR="00042F52" w:rsidRDefault="00042F52" w:rsidP="002927D3">
            <w:pPr>
              <w:rPr>
                <w:b/>
              </w:rPr>
            </w:pPr>
          </w:p>
        </w:tc>
      </w:tr>
    </w:tbl>
    <w:p w14:paraId="0D9C85BE" w14:textId="77777777" w:rsidR="00D05943" w:rsidRPr="003B6A4C" w:rsidRDefault="00D05943" w:rsidP="000E3F33">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878"/>
        <w:gridCol w:w="2701"/>
        <w:gridCol w:w="6174"/>
      </w:tblGrid>
      <w:tr w:rsidR="00D6606D" w14:paraId="6D933CEB" w14:textId="77777777" w:rsidTr="00D6606D">
        <w:tc>
          <w:tcPr>
            <w:tcW w:w="749" w:type="pct"/>
          </w:tcPr>
          <w:p w14:paraId="48C37734" w14:textId="1180C931" w:rsidR="00D6606D" w:rsidRPr="00F97FEB" w:rsidRDefault="00D6606D" w:rsidP="00775E37">
            <w:pPr>
              <w:ind w:left="-108"/>
              <w:rPr>
                <w:b/>
              </w:rPr>
            </w:pPr>
            <w:r w:rsidRPr="00F97FEB">
              <w:rPr>
                <w:b/>
              </w:rPr>
              <w:t xml:space="preserve">Type of </w:t>
            </w:r>
            <w:r>
              <w:rPr>
                <w:b/>
              </w:rPr>
              <w:t>Borrower</w:t>
            </w:r>
            <w:r w:rsidRPr="00F97FEB">
              <w:rPr>
                <w:b/>
              </w:rPr>
              <w:t>:</w:t>
            </w:r>
          </w:p>
        </w:tc>
        <w:tc>
          <w:tcPr>
            <w:tcW w:w="1041" w:type="pct"/>
          </w:tcPr>
          <w:p w14:paraId="16F9D968" w14:textId="77777777" w:rsidR="00D6606D" w:rsidRDefault="009B1938" w:rsidP="000E3F33">
            <w:sdt>
              <w:sdtPr>
                <w:id w:val="1700593804"/>
                <w14:checkbox>
                  <w14:checked w14:val="0"/>
                  <w14:checkedState w14:val="2612" w14:font="MS Gothic"/>
                  <w14:uncheckedState w14:val="2610" w14:font="MS Gothic"/>
                </w14:checkbox>
              </w:sdtPr>
              <w:sdtEndPr/>
              <w:sdtContent>
                <w:r w:rsidR="00D6606D">
                  <w:rPr>
                    <w:rFonts w:ascii="MS Gothic" w:eastAsia="MS Gothic" w:hAnsi="MS Gothic" w:hint="eastAsia"/>
                  </w:rPr>
                  <w:t>☐</w:t>
                </w:r>
              </w:sdtContent>
            </w:sdt>
            <w:r w:rsidR="00D6606D">
              <w:t xml:space="preserve"> Investor-Owned PWS</w:t>
            </w:r>
          </w:p>
        </w:tc>
        <w:tc>
          <w:tcPr>
            <w:tcW w:w="977" w:type="pct"/>
          </w:tcPr>
          <w:p w14:paraId="57805E11" w14:textId="202DC561" w:rsidR="00D6606D" w:rsidRPr="007D1F6E" w:rsidRDefault="009B1938" w:rsidP="00775E37">
            <w:pPr>
              <w:rPr>
                <w:b/>
              </w:rPr>
            </w:pPr>
            <w:sdt>
              <w:sdtPr>
                <w:id w:val="-1982996053"/>
                <w14:checkbox>
                  <w14:checked w14:val="0"/>
                  <w14:checkedState w14:val="2612" w14:font="MS Gothic"/>
                  <w14:uncheckedState w14:val="2610" w14:font="MS Gothic"/>
                </w14:checkbox>
              </w:sdtPr>
              <w:sdtEndPr/>
              <w:sdtContent>
                <w:r w:rsidR="00D6606D">
                  <w:rPr>
                    <w:rFonts w:ascii="MS Gothic" w:eastAsia="MS Gothic" w:hAnsi="MS Gothic" w:hint="eastAsia"/>
                  </w:rPr>
                  <w:t>☐</w:t>
                </w:r>
              </w:sdtContent>
            </w:sdt>
            <w:r w:rsidR="00D6606D">
              <w:t xml:space="preserve"> Private Borrower </w:t>
            </w:r>
          </w:p>
        </w:tc>
        <w:tc>
          <w:tcPr>
            <w:tcW w:w="2233" w:type="pct"/>
          </w:tcPr>
          <w:p w14:paraId="55F3305D" w14:textId="59452FC4" w:rsidR="00D6606D" w:rsidRDefault="009B1938" w:rsidP="00D6606D">
            <w:sdt>
              <w:sdtPr>
                <w:id w:val="-1142430319"/>
                <w14:checkbox>
                  <w14:checked w14:val="0"/>
                  <w14:checkedState w14:val="2612" w14:font="MS Gothic"/>
                  <w14:uncheckedState w14:val="2610" w14:font="MS Gothic"/>
                </w14:checkbox>
              </w:sdtPr>
              <w:sdtEndPr/>
              <w:sdtContent>
                <w:r w:rsidR="00D6606D">
                  <w:rPr>
                    <w:rFonts w:ascii="MS Gothic" w:eastAsia="MS Gothic" w:hAnsi="MS Gothic" w:hint="eastAsia"/>
                  </w:rPr>
                  <w:t>☐</w:t>
                </w:r>
              </w:sdtContent>
            </w:sdt>
            <w:r w:rsidR="00D6606D">
              <w:t xml:space="preserve"> Municipality / Water Authority / Tax District / Non-Profit PWS</w:t>
            </w:r>
          </w:p>
        </w:tc>
      </w:tr>
    </w:tbl>
    <w:p w14:paraId="3256401C" w14:textId="77777777" w:rsidR="00413B1C" w:rsidRDefault="00413B1C" w:rsidP="000E3F33">
      <w:pPr>
        <w:spacing w:after="0" w:line="240" w:lineRule="auto"/>
        <w:rPr>
          <w:b/>
        </w:rPr>
      </w:pPr>
    </w:p>
    <w:tbl>
      <w:tblPr>
        <w:tblStyle w:val="TableGrid"/>
        <w:tblW w:w="2605" w:type="pct"/>
        <w:tblInd w:w="2250" w:type="dxa"/>
        <w:tblLook w:val="04A0" w:firstRow="1" w:lastRow="0" w:firstColumn="1" w:lastColumn="0" w:noHBand="0" w:noVBand="1"/>
      </w:tblPr>
      <w:tblGrid>
        <w:gridCol w:w="4410"/>
        <w:gridCol w:w="1259"/>
        <w:gridCol w:w="1533"/>
      </w:tblGrid>
      <w:tr w:rsidR="00D71EEF" w14:paraId="418D02A3" w14:textId="77777777" w:rsidTr="005B56A5">
        <w:trPr>
          <w:trHeight w:val="288"/>
        </w:trPr>
        <w:tc>
          <w:tcPr>
            <w:tcW w:w="3062" w:type="pct"/>
            <w:tcBorders>
              <w:top w:val="nil"/>
              <w:left w:val="nil"/>
              <w:bottom w:val="nil"/>
              <w:right w:val="nil"/>
            </w:tcBorders>
            <w:vAlign w:val="bottom"/>
          </w:tcPr>
          <w:p w14:paraId="6779A279" w14:textId="5051EFAF" w:rsidR="00D71EEF" w:rsidRDefault="00D71EEF" w:rsidP="002F5703">
            <w:pPr>
              <w:ind w:left="-113"/>
            </w:pPr>
            <w:r>
              <w:t xml:space="preserve">Does this </w:t>
            </w:r>
            <w:r w:rsidR="002F5703">
              <w:t>borrower</w:t>
            </w:r>
            <w:r>
              <w:t xml:space="preserve"> have bonding </w:t>
            </w:r>
            <w:r w:rsidR="00042F52">
              <w:t>authority?</w:t>
            </w:r>
            <w:r>
              <w:t xml:space="preserve"> </w:t>
            </w:r>
          </w:p>
        </w:tc>
        <w:tc>
          <w:tcPr>
            <w:tcW w:w="874" w:type="pct"/>
            <w:tcBorders>
              <w:top w:val="nil"/>
              <w:left w:val="nil"/>
              <w:bottom w:val="nil"/>
              <w:right w:val="nil"/>
            </w:tcBorders>
          </w:tcPr>
          <w:p w14:paraId="607E34CD" w14:textId="213BD7A1" w:rsidR="00D71EEF" w:rsidRDefault="009B1938" w:rsidP="00D71EEF">
            <w:pPr>
              <w:rPr>
                <w:b/>
              </w:rPr>
            </w:pPr>
            <w:sdt>
              <w:sdtPr>
                <w:id w:val="1740054707"/>
                <w14:checkbox>
                  <w14:checked w14:val="0"/>
                  <w14:checkedState w14:val="2612" w14:font="MS Gothic"/>
                  <w14:uncheckedState w14:val="2610" w14:font="MS Gothic"/>
                </w14:checkbox>
              </w:sdtPr>
              <w:sdtEndPr/>
              <w:sdtContent>
                <w:r w:rsidR="00D71EEF">
                  <w:rPr>
                    <w:rFonts w:ascii="MS Gothic" w:eastAsia="MS Gothic" w:hAnsi="MS Gothic" w:hint="eastAsia"/>
                  </w:rPr>
                  <w:t>☐</w:t>
                </w:r>
              </w:sdtContent>
            </w:sdt>
            <w:r w:rsidR="00D71EEF">
              <w:t xml:space="preserve"> Yes</w:t>
            </w:r>
          </w:p>
        </w:tc>
        <w:tc>
          <w:tcPr>
            <w:tcW w:w="1064" w:type="pct"/>
            <w:tcBorders>
              <w:top w:val="nil"/>
              <w:left w:val="nil"/>
              <w:bottom w:val="nil"/>
              <w:right w:val="nil"/>
            </w:tcBorders>
          </w:tcPr>
          <w:p w14:paraId="1D367355" w14:textId="1050DA8E" w:rsidR="00D71EEF" w:rsidRDefault="009B1938" w:rsidP="00D71EEF">
            <w:pPr>
              <w:rPr>
                <w:b/>
              </w:rPr>
            </w:pPr>
            <w:sdt>
              <w:sdtPr>
                <w:id w:val="-853723125"/>
                <w14:checkbox>
                  <w14:checked w14:val="0"/>
                  <w14:checkedState w14:val="2612" w14:font="MS Gothic"/>
                  <w14:uncheckedState w14:val="2610" w14:font="MS Gothic"/>
                </w14:checkbox>
              </w:sdtPr>
              <w:sdtEndPr/>
              <w:sdtContent>
                <w:r w:rsidR="00D71EEF">
                  <w:rPr>
                    <w:rFonts w:ascii="MS Gothic" w:eastAsia="MS Gothic" w:hAnsi="MS Gothic" w:hint="eastAsia"/>
                  </w:rPr>
                  <w:t>☐</w:t>
                </w:r>
              </w:sdtContent>
            </w:sdt>
            <w:r w:rsidR="00D71EEF">
              <w:t xml:space="preserve"> No</w:t>
            </w:r>
          </w:p>
        </w:tc>
      </w:tr>
    </w:tbl>
    <w:p w14:paraId="0AB28228" w14:textId="77777777" w:rsidR="00413B1C" w:rsidRDefault="00413B1C" w:rsidP="000E3F33">
      <w:pPr>
        <w:spacing w:after="0" w:line="240" w:lineRule="auto"/>
        <w:rPr>
          <w:b/>
        </w:rPr>
      </w:pPr>
    </w:p>
    <w:p w14:paraId="4494FB1B" w14:textId="7DCEB5C3" w:rsidR="003B6A4C" w:rsidRDefault="00A0272F" w:rsidP="000E3F33">
      <w:pPr>
        <w:spacing w:after="0" w:line="240" w:lineRule="auto"/>
        <w:rPr>
          <w:b/>
        </w:rPr>
      </w:pPr>
      <w:r>
        <w:rPr>
          <w:b/>
        </w:rPr>
        <w:t>Financial Documentation Needed by a DWSRF Borrower</w:t>
      </w:r>
      <w:r w:rsidR="00CC1280">
        <w:rPr>
          <w:b/>
        </w:rPr>
        <w:t xml:space="preserve"> </w:t>
      </w:r>
      <w:r w:rsidR="00CC1280" w:rsidRPr="00CC1280">
        <w:rPr>
          <w:bCs/>
        </w:rPr>
        <w:t xml:space="preserve">(check box </w:t>
      </w:r>
      <w:r w:rsidR="00CC1280">
        <w:rPr>
          <w:bCs/>
        </w:rPr>
        <w:t xml:space="preserve">next to item </w:t>
      </w:r>
      <w:r w:rsidR="00CC1280" w:rsidRPr="00CC1280">
        <w:rPr>
          <w:bCs/>
        </w:rPr>
        <w:t>if included</w:t>
      </w:r>
      <w:bookmarkStart w:id="0" w:name="_GoBack"/>
      <w:bookmarkEnd w:id="0"/>
      <w:r w:rsidR="00CC1280" w:rsidRPr="00CC1280">
        <w:rPr>
          <w:bCs/>
        </w:rPr>
        <w:t>)</w:t>
      </w:r>
    </w:p>
    <w:p w14:paraId="23E8DAD4" w14:textId="77777777" w:rsidR="00A0272F" w:rsidRDefault="00A0272F" w:rsidP="000E3F33">
      <w:pPr>
        <w:spacing w:after="0" w:line="240" w:lineRule="auto"/>
        <w:rPr>
          <w:b/>
        </w:rPr>
      </w:pPr>
    </w:p>
    <w:tbl>
      <w:tblPr>
        <w:tblStyle w:val="TableGrid"/>
        <w:tblW w:w="5082" w:type="pct"/>
        <w:tblInd w:w="-95" w:type="dxa"/>
        <w:tblLook w:val="04A0" w:firstRow="1" w:lastRow="0" w:firstColumn="1" w:lastColumn="0" w:noHBand="0" w:noVBand="1"/>
      </w:tblPr>
      <w:tblGrid>
        <w:gridCol w:w="438"/>
        <w:gridCol w:w="13603"/>
      </w:tblGrid>
      <w:tr w:rsidR="00CC1280" w:rsidRPr="005E1BEC" w14:paraId="14261461" w14:textId="77777777" w:rsidTr="00CC1280">
        <w:trPr>
          <w:trHeight w:val="300"/>
        </w:trPr>
        <w:tc>
          <w:tcPr>
            <w:tcW w:w="156" w:type="pct"/>
          </w:tcPr>
          <w:p w14:paraId="5793BFD9" w14:textId="77777777" w:rsidR="00CC1280" w:rsidRPr="005E1BEC" w:rsidRDefault="00CC1280" w:rsidP="0089618D">
            <w:pPr>
              <w:rPr>
                <w:rFonts w:eastAsia="Times New Roman"/>
                <w:color w:val="000000"/>
              </w:rPr>
            </w:pPr>
          </w:p>
        </w:tc>
        <w:tc>
          <w:tcPr>
            <w:tcW w:w="4844" w:type="pct"/>
            <w:hideMark/>
          </w:tcPr>
          <w:p w14:paraId="0F99A39A" w14:textId="15BEE63F" w:rsidR="00CC1280" w:rsidRPr="005E1BEC" w:rsidRDefault="00CC1280" w:rsidP="0089618D">
            <w:pPr>
              <w:rPr>
                <w:rFonts w:eastAsia="Times New Roman"/>
                <w:color w:val="000000"/>
              </w:rPr>
            </w:pPr>
            <w:r w:rsidRPr="005E1BEC">
              <w:rPr>
                <w:rFonts w:eastAsia="Times New Roman"/>
                <w:color w:val="000000"/>
              </w:rPr>
              <w:t>The name, title, and contact information for the person preparing the below information.</w:t>
            </w:r>
          </w:p>
        </w:tc>
      </w:tr>
      <w:tr w:rsidR="00CC1280" w:rsidRPr="005E1BEC" w14:paraId="59AA3DA2" w14:textId="77777777" w:rsidTr="00CC1280">
        <w:trPr>
          <w:trHeight w:val="585"/>
        </w:trPr>
        <w:tc>
          <w:tcPr>
            <w:tcW w:w="156" w:type="pct"/>
          </w:tcPr>
          <w:p w14:paraId="115FB537" w14:textId="77777777" w:rsidR="00CC1280" w:rsidRPr="005E1BEC" w:rsidRDefault="00CC1280" w:rsidP="0089618D">
            <w:pPr>
              <w:rPr>
                <w:rFonts w:eastAsia="Times New Roman"/>
                <w:color w:val="000000"/>
              </w:rPr>
            </w:pPr>
          </w:p>
        </w:tc>
        <w:tc>
          <w:tcPr>
            <w:tcW w:w="4844" w:type="pct"/>
            <w:hideMark/>
          </w:tcPr>
          <w:p w14:paraId="13E88104" w14:textId="5A33D42D" w:rsidR="00CC1280" w:rsidRPr="005E1BEC" w:rsidRDefault="00CC1280" w:rsidP="0089618D">
            <w:pPr>
              <w:rPr>
                <w:rFonts w:eastAsia="Times New Roman"/>
                <w:color w:val="000000"/>
              </w:rPr>
            </w:pPr>
            <w:r w:rsidRPr="005E1BEC">
              <w:rPr>
                <w:rFonts w:eastAsia="Times New Roman"/>
                <w:color w:val="000000"/>
              </w:rPr>
              <w:t>A summary of how the public water system will guarantee the repayment of loan money received through the financial assistance agreement, either through the full faith and credit of the entity and/or through a pledge of revenues.</w:t>
            </w:r>
          </w:p>
        </w:tc>
      </w:tr>
      <w:tr w:rsidR="00CC1280" w:rsidRPr="005E1BEC" w14:paraId="164CF7FD" w14:textId="77777777" w:rsidTr="00CC1280">
        <w:trPr>
          <w:trHeight w:val="300"/>
        </w:trPr>
        <w:tc>
          <w:tcPr>
            <w:tcW w:w="156" w:type="pct"/>
          </w:tcPr>
          <w:p w14:paraId="67E3C60A" w14:textId="77777777" w:rsidR="00CC1280" w:rsidRPr="005E1BEC" w:rsidRDefault="00CC1280" w:rsidP="0089618D">
            <w:pPr>
              <w:rPr>
                <w:rFonts w:eastAsia="Times New Roman"/>
                <w:color w:val="000000"/>
              </w:rPr>
            </w:pPr>
          </w:p>
        </w:tc>
        <w:tc>
          <w:tcPr>
            <w:tcW w:w="4844" w:type="pct"/>
            <w:hideMark/>
          </w:tcPr>
          <w:p w14:paraId="730B5F1E" w14:textId="1FB7C3EB" w:rsidR="00CC1280" w:rsidRPr="005E1BEC" w:rsidRDefault="00CC1280" w:rsidP="0089618D">
            <w:pPr>
              <w:rPr>
                <w:rFonts w:eastAsia="Times New Roman"/>
                <w:color w:val="000000"/>
              </w:rPr>
            </w:pPr>
            <w:r w:rsidRPr="005E1BEC">
              <w:rPr>
                <w:rFonts w:eastAsia="Times New Roman"/>
                <w:color w:val="000000"/>
              </w:rPr>
              <w:t>Financial statements and supportive documents from the last three (3) years, which include:</w:t>
            </w:r>
          </w:p>
        </w:tc>
      </w:tr>
      <w:tr w:rsidR="00CC1280" w:rsidRPr="005E1BEC" w14:paraId="1F1C8E0D" w14:textId="77777777" w:rsidTr="00CC1280">
        <w:trPr>
          <w:trHeight w:val="300"/>
        </w:trPr>
        <w:tc>
          <w:tcPr>
            <w:tcW w:w="156" w:type="pct"/>
          </w:tcPr>
          <w:p w14:paraId="0B131F22" w14:textId="77777777" w:rsidR="00CC1280" w:rsidRPr="005E1BEC" w:rsidRDefault="00CC1280" w:rsidP="0089618D">
            <w:pPr>
              <w:rPr>
                <w:rFonts w:eastAsia="Symbol" w:cs="Symbol"/>
                <w:color w:val="000000"/>
              </w:rPr>
            </w:pPr>
          </w:p>
        </w:tc>
        <w:tc>
          <w:tcPr>
            <w:tcW w:w="4844" w:type="pct"/>
            <w:hideMark/>
          </w:tcPr>
          <w:p w14:paraId="21D26294" w14:textId="28316C43" w:rsidR="00CC1280" w:rsidRPr="005E1BEC" w:rsidRDefault="00CC1280" w:rsidP="0089618D">
            <w:pPr>
              <w:rPr>
                <w:rFonts w:eastAsia="Times New Roman"/>
                <w:color w:val="000000"/>
              </w:rPr>
            </w:pPr>
            <w:r w:rsidRPr="005E1BEC">
              <w:rPr>
                <w:rFonts w:eastAsia="Symbol" w:cs="Symbol"/>
                <w:color w:val="000000"/>
              </w:rPr>
              <w:t xml:space="preserve">     -Balance Sheet/Statement of Net Assets</w:t>
            </w:r>
          </w:p>
        </w:tc>
      </w:tr>
      <w:tr w:rsidR="00CC1280" w:rsidRPr="005E1BEC" w14:paraId="1279E91D" w14:textId="77777777" w:rsidTr="00CC1280">
        <w:trPr>
          <w:trHeight w:val="300"/>
        </w:trPr>
        <w:tc>
          <w:tcPr>
            <w:tcW w:w="156" w:type="pct"/>
          </w:tcPr>
          <w:p w14:paraId="0712FC87" w14:textId="77777777" w:rsidR="00CC1280" w:rsidRPr="005E1BEC" w:rsidRDefault="00CC1280" w:rsidP="0089618D">
            <w:pPr>
              <w:rPr>
                <w:rFonts w:eastAsia="Symbol" w:cs="Symbol"/>
                <w:color w:val="000000"/>
              </w:rPr>
            </w:pPr>
          </w:p>
        </w:tc>
        <w:tc>
          <w:tcPr>
            <w:tcW w:w="4844" w:type="pct"/>
            <w:hideMark/>
          </w:tcPr>
          <w:p w14:paraId="25824ABD" w14:textId="779E1831" w:rsidR="00CC1280" w:rsidRPr="005E1BEC" w:rsidRDefault="00CC1280" w:rsidP="0089618D">
            <w:pPr>
              <w:rPr>
                <w:rFonts w:eastAsia="Times New Roman"/>
                <w:color w:val="000000"/>
              </w:rPr>
            </w:pPr>
            <w:r w:rsidRPr="005E1BEC">
              <w:rPr>
                <w:rFonts w:eastAsia="Symbol" w:cs="Symbol"/>
                <w:color w:val="000000"/>
              </w:rPr>
              <w:t xml:space="preserve">     -Income Statement/Statement of Revenues and Expenses/Expenditures</w:t>
            </w:r>
          </w:p>
        </w:tc>
      </w:tr>
      <w:tr w:rsidR="00CC1280" w:rsidRPr="005E1BEC" w14:paraId="529E07EF" w14:textId="77777777" w:rsidTr="00CC1280">
        <w:trPr>
          <w:trHeight w:val="300"/>
        </w:trPr>
        <w:tc>
          <w:tcPr>
            <w:tcW w:w="156" w:type="pct"/>
          </w:tcPr>
          <w:p w14:paraId="6CDB2EF4" w14:textId="77777777" w:rsidR="00CC1280" w:rsidRPr="005E1BEC" w:rsidRDefault="00CC1280" w:rsidP="0089618D">
            <w:pPr>
              <w:rPr>
                <w:rFonts w:eastAsia="Symbol" w:cs="Symbol"/>
                <w:color w:val="000000"/>
              </w:rPr>
            </w:pPr>
          </w:p>
        </w:tc>
        <w:tc>
          <w:tcPr>
            <w:tcW w:w="4844" w:type="pct"/>
            <w:hideMark/>
          </w:tcPr>
          <w:p w14:paraId="69F0B6B4" w14:textId="7E6E69BB" w:rsidR="00CC1280" w:rsidRPr="005E1BEC" w:rsidRDefault="00CC1280" w:rsidP="0089618D">
            <w:pPr>
              <w:rPr>
                <w:rFonts w:eastAsia="Times New Roman"/>
                <w:color w:val="000000"/>
              </w:rPr>
            </w:pPr>
            <w:r w:rsidRPr="005E1BEC">
              <w:rPr>
                <w:rFonts w:eastAsia="Symbol" w:cs="Symbol"/>
                <w:color w:val="000000"/>
              </w:rPr>
              <w:t xml:space="preserve">     -Audited Financial Statements or Annual Reports (if applicable)</w:t>
            </w:r>
          </w:p>
        </w:tc>
      </w:tr>
      <w:tr w:rsidR="00CC1280" w:rsidRPr="005E1BEC" w14:paraId="764BD811" w14:textId="77777777" w:rsidTr="00CC1280">
        <w:trPr>
          <w:trHeight w:val="300"/>
        </w:trPr>
        <w:tc>
          <w:tcPr>
            <w:tcW w:w="156" w:type="pct"/>
          </w:tcPr>
          <w:p w14:paraId="72EC1A97" w14:textId="77777777" w:rsidR="00CC1280" w:rsidRPr="005E1BEC" w:rsidRDefault="00CC1280" w:rsidP="0089618D">
            <w:pPr>
              <w:rPr>
                <w:rFonts w:eastAsia="Times New Roman"/>
                <w:color w:val="000000"/>
              </w:rPr>
            </w:pPr>
          </w:p>
        </w:tc>
        <w:tc>
          <w:tcPr>
            <w:tcW w:w="4844" w:type="pct"/>
            <w:noWrap/>
            <w:hideMark/>
          </w:tcPr>
          <w:p w14:paraId="13A32EEC" w14:textId="2FA548F1" w:rsidR="00CC1280" w:rsidRPr="005E1BEC" w:rsidRDefault="00CC1280" w:rsidP="0089618D">
            <w:pPr>
              <w:rPr>
                <w:rFonts w:eastAsia="Times New Roman"/>
                <w:color w:val="000000"/>
              </w:rPr>
            </w:pPr>
            <w:r w:rsidRPr="005E1BEC">
              <w:rPr>
                <w:rFonts w:eastAsia="Times New Roman"/>
                <w:color w:val="000000"/>
              </w:rPr>
              <w:t xml:space="preserve">     -Prospectus or offering statement (if applicable)</w:t>
            </w:r>
          </w:p>
        </w:tc>
      </w:tr>
      <w:tr w:rsidR="00CC1280" w:rsidRPr="005E1BEC" w14:paraId="4493E5BF" w14:textId="77777777" w:rsidTr="00CC1280">
        <w:trPr>
          <w:trHeight w:val="300"/>
        </w:trPr>
        <w:tc>
          <w:tcPr>
            <w:tcW w:w="156" w:type="pct"/>
          </w:tcPr>
          <w:p w14:paraId="32678D8A" w14:textId="77777777" w:rsidR="00CC1280" w:rsidRPr="005E1BEC" w:rsidRDefault="00CC1280" w:rsidP="0089618D">
            <w:pPr>
              <w:rPr>
                <w:rFonts w:eastAsia="Times New Roman"/>
                <w:color w:val="000000"/>
              </w:rPr>
            </w:pPr>
          </w:p>
        </w:tc>
        <w:tc>
          <w:tcPr>
            <w:tcW w:w="4844" w:type="pct"/>
            <w:hideMark/>
          </w:tcPr>
          <w:p w14:paraId="56ACF731" w14:textId="66C51946" w:rsidR="00CC1280" w:rsidRPr="005E1BEC" w:rsidRDefault="00CC1280" w:rsidP="0089618D">
            <w:pPr>
              <w:rPr>
                <w:rFonts w:eastAsia="Times New Roman"/>
                <w:color w:val="000000"/>
              </w:rPr>
            </w:pPr>
            <w:r w:rsidRPr="005E1BEC">
              <w:rPr>
                <w:rFonts w:eastAsia="Times New Roman"/>
                <w:color w:val="000000"/>
              </w:rPr>
              <w:t xml:space="preserve">Budget projection that includes plan for repayment of borrowed funds.  </w:t>
            </w:r>
          </w:p>
        </w:tc>
      </w:tr>
      <w:tr w:rsidR="00CC1280" w:rsidRPr="005E1BEC" w14:paraId="04BC5FB4" w14:textId="77777777" w:rsidTr="00CC1280">
        <w:trPr>
          <w:trHeight w:val="300"/>
        </w:trPr>
        <w:tc>
          <w:tcPr>
            <w:tcW w:w="156" w:type="pct"/>
          </w:tcPr>
          <w:p w14:paraId="26922782" w14:textId="77777777" w:rsidR="00CC1280" w:rsidRPr="005E1BEC" w:rsidRDefault="00CC1280" w:rsidP="0089618D">
            <w:pPr>
              <w:rPr>
                <w:rFonts w:eastAsia="Times New Roman"/>
                <w:color w:val="000000"/>
              </w:rPr>
            </w:pPr>
          </w:p>
        </w:tc>
        <w:tc>
          <w:tcPr>
            <w:tcW w:w="4844" w:type="pct"/>
            <w:hideMark/>
          </w:tcPr>
          <w:p w14:paraId="78E1AD25" w14:textId="49ADAB51" w:rsidR="00CC1280" w:rsidRPr="005E1BEC" w:rsidRDefault="00CC1280" w:rsidP="0089618D">
            <w:pPr>
              <w:rPr>
                <w:rFonts w:eastAsia="Times New Roman"/>
                <w:color w:val="000000"/>
              </w:rPr>
            </w:pPr>
            <w:r w:rsidRPr="005E1BEC">
              <w:rPr>
                <w:rFonts w:eastAsia="Times New Roman"/>
                <w:color w:val="000000"/>
              </w:rPr>
              <w:t>Title and name of the individual(s) with the authority to sign loan documents.</w:t>
            </w:r>
          </w:p>
        </w:tc>
      </w:tr>
      <w:tr w:rsidR="00CC1280" w:rsidRPr="005E1BEC" w14:paraId="0603F684" w14:textId="77777777" w:rsidTr="00CC1280">
        <w:trPr>
          <w:trHeight w:val="300"/>
        </w:trPr>
        <w:tc>
          <w:tcPr>
            <w:tcW w:w="156" w:type="pct"/>
          </w:tcPr>
          <w:p w14:paraId="0568FDDE" w14:textId="77777777" w:rsidR="00CC1280" w:rsidRPr="005E1BEC" w:rsidRDefault="00CC1280" w:rsidP="0089618D">
            <w:pPr>
              <w:rPr>
                <w:rFonts w:eastAsia="Times New Roman"/>
                <w:color w:val="000000"/>
              </w:rPr>
            </w:pPr>
          </w:p>
        </w:tc>
        <w:tc>
          <w:tcPr>
            <w:tcW w:w="4844" w:type="pct"/>
            <w:hideMark/>
          </w:tcPr>
          <w:p w14:paraId="49B02839" w14:textId="50025AFA" w:rsidR="00CC1280" w:rsidRPr="005E1BEC" w:rsidRDefault="00CC1280" w:rsidP="0089618D">
            <w:pPr>
              <w:rPr>
                <w:rFonts w:eastAsia="Times New Roman"/>
                <w:color w:val="000000"/>
              </w:rPr>
            </w:pPr>
            <w:r w:rsidRPr="005E1BEC">
              <w:rPr>
                <w:rFonts w:eastAsia="Times New Roman"/>
                <w:color w:val="000000"/>
              </w:rPr>
              <w:t xml:space="preserve">If entity is a private borrower provide: </w:t>
            </w:r>
          </w:p>
        </w:tc>
      </w:tr>
      <w:tr w:rsidR="00CC1280" w:rsidRPr="005E1BEC" w14:paraId="7795A640" w14:textId="77777777" w:rsidTr="00CC1280">
        <w:trPr>
          <w:trHeight w:val="300"/>
        </w:trPr>
        <w:tc>
          <w:tcPr>
            <w:tcW w:w="156" w:type="pct"/>
          </w:tcPr>
          <w:p w14:paraId="53BAEF90" w14:textId="77777777" w:rsidR="00CC1280" w:rsidRDefault="00CC1280" w:rsidP="0089618D">
            <w:pPr>
              <w:rPr>
                <w:rFonts w:eastAsia="Times New Roman"/>
                <w:color w:val="000000"/>
              </w:rPr>
            </w:pPr>
          </w:p>
        </w:tc>
        <w:tc>
          <w:tcPr>
            <w:tcW w:w="4844" w:type="pct"/>
            <w:hideMark/>
          </w:tcPr>
          <w:p w14:paraId="6114D754" w14:textId="27DFE758" w:rsidR="00CC1280" w:rsidRPr="005E1BEC" w:rsidRDefault="00CC1280" w:rsidP="0089618D">
            <w:pPr>
              <w:rPr>
                <w:rFonts w:eastAsia="Times New Roman"/>
                <w:color w:val="000000"/>
              </w:rPr>
            </w:pPr>
            <w:r>
              <w:rPr>
                <w:rFonts w:eastAsia="Times New Roman"/>
                <w:color w:val="000000"/>
              </w:rPr>
              <w:t xml:space="preserve">     -A</w:t>
            </w:r>
            <w:r w:rsidRPr="005E1BEC">
              <w:rPr>
                <w:rFonts w:eastAsia="Times New Roman"/>
                <w:color w:val="000000"/>
              </w:rPr>
              <w:t xml:space="preserve"> description of management of the entity</w:t>
            </w:r>
          </w:p>
        </w:tc>
      </w:tr>
      <w:tr w:rsidR="00CC1280" w:rsidRPr="005E1BEC" w14:paraId="06C4A526" w14:textId="77777777" w:rsidTr="00CC1280">
        <w:trPr>
          <w:trHeight w:val="300"/>
        </w:trPr>
        <w:tc>
          <w:tcPr>
            <w:tcW w:w="156" w:type="pct"/>
          </w:tcPr>
          <w:p w14:paraId="248BA20F" w14:textId="77777777" w:rsidR="00CC1280" w:rsidRPr="005E1BEC" w:rsidRDefault="00CC1280" w:rsidP="006401F8">
            <w:pPr>
              <w:rPr>
                <w:rFonts w:eastAsia="Times New Roman"/>
                <w:color w:val="000000"/>
              </w:rPr>
            </w:pPr>
          </w:p>
        </w:tc>
        <w:tc>
          <w:tcPr>
            <w:tcW w:w="4844" w:type="pct"/>
            <w:hideMark/>
          </w:tcPr>
          <w:p w14:paraId="4317E54D" w14:textId="458543ED" w:rsidR="00CC1280" w:rsidRPr="005E1BEC" w:rsidRDefault="00CC1280" w:rsidP="006401F8">
            <w:pPr>
              <w:rPr>
                <w:rFonts w:eastAsia="Times New Roman"/>
                <w:color w:val="000000"/>
              </w:rPr>
            </w:pPr>
            <w:r w:rsidRPr="005E1BEC">
              <w:rPr>
                <w:rFonts w:eastAsia="Times New Roman"/>
                <w:color w:val="000000"/>
              </w:rPr>
              <w:t xml:space="preserve">     -</w:t>
            </w:r>
            <w:r>
              <w:rPr>
                <w:rFonts w:eastAsia="Times New Roman"/>
                <w:color w:val="000000"/>
              </w:rPr>
              <w:t>M</w:t>
            </w:r>
            <w:r w:rsidRPr="005E1BEC">
              <w:rPr>
                <w:rFonts w:eastAsia="Times New Roman"/>
                <w:color w:val="000000"/>
              </w:rPr>
              <w:t>anagement of the project funded by the loan</w:t>
            </w:r>
          </w:p>
        </w:tc>
      </w:tr>
      <w:tr w:rsidR="00CC1280" w:rsidRPr="005E1BEC" w14:paraId="6DAA323A" w14:textId="77777777" w:rsidTr="00CC1280">
        <w:trPr>
          <w:trHeight w:val="300"/>
        </w:trPr>
        <w:tc>
          <w:tcPr>
            <w:tcW w:w="156" w:type="pct"/>
          </w:tcPr>
          <w:p w14:paraId="4DDA90DD" w14:textId="77777777" w:rsidR="00CC1280" w:rsidRDefault="00CC1280" w:rsidP="0089618D">
            <w:pPr>
              <w:ind w:left="414" w:hanging="414"/>
              <w:rPr>
                <w:rFonts w:eastAsia="Times New Roman"/>
                <w:color w:val="000000"/>
              </w:rPr>
            </w:pPr>
          </w:p>
        </w:tc>
        <w:tc>
          <w:tcPr>
            <w:tcW w:w="4844" w:type="pct"/>
            <w:hideMark/>
          </w:tcPr>
          <w:p w14:paraId="1B17732C" w14:textId="1BD4CD74" w:rsidR="00CC1280" w:rsidRPr="005E1BEC" w:rsidRDefault="00CC1280" w:rsidP="0089618D">
            <w:pPr>
              <w:ind w:left="414" w:hanging="414"/>
              <w:rPr>
                <w:rFonts w:eastAsia="Times New Roman"/>
                <w:color w:val="000000"/>
              </w:rPr>
            </w:pPr>
            <w:r>
              <w:rPr>
                <w:rFonts w:eastAsia="Times New Roman"/>
                <w:color w:val="000000"/>
              </w:rPr>
              <w:t xml:space="preserve">     -D</w:t>
            </w:r>
            <w:r w:rsidRPr="005E1BEC">
              <w:rPr>
                <w:rFonts w:eastAsia="Times New Roman"/>
                <w:color w:val="000000"/>
              </w:rPr>
              <w:t>etails of rates and revenue generating ability for three years prior with collection history</w:t>
            </w:r>
            <w:r>
              <w:rPr>
                <w:rFonts w:eastAsia="Times New Roman"/>
                <w:color w:val="000000"/>
              </w:rPr>
              <w:t xml:space="preserve"> </w:t>
            </w:r>
            <w:r w:rsidRPr="009A7C0C">
              <w:rPr>
                <w:rFonts w:eastAsia="Times New Roman"/>
                <w:color w:val="000000"/>
              </w:rPr>
              <w:t>(total dollars received and rate/amount of unpaid bills)</w:t>
            </w:r>
          </w:p>
        </w:tc>
      </w:tr>
      <w:tr w:rsidR="00CC1280" w:rsidRPr="005E1BEC" w14:paraId="563A5358" w14:textId="77777777" w:rsidTr="00CC1280">
        <w:trPr>
          <w:trHeight w:val="300"/>
        </w:trPr>
        <w:tc>
          <w:tcPr>
            <w:tcW w:w="156" w:type="pct"/>
          </w:tcPr>
          <w:p w14:paraId="3BDB95A6" w14:textId="77777777" w:rsidR="00CC1280" w:rsidRPr="006F238C" w:rsidRDefault="00CC1280" w:rsidP="0089618D">
            <w:pPr>
              <w:ind w:left="414" w:hanging="414"/>
              <w:rPr>
                <w:rFonts w:eastAsia="Times New Roman"/>
                <w:color w:val="000000"/>
              </w:rPr>
            </w:pPr>
          </w:p>
        </w:tc>
        <w:tc>
          <w:tcPr>
            <w:tcW w:w="4844" w:type="pct"/>
          </w:tcPr>
          <w:p w14:paraId="27C1F0A9" w14:textId="54F45131" w:rsidR="00CC1280" w:rsidRDefault="00CC1280" w:rsidP="0089618D">
            <w:pPr>
              <w:ind w:left="414" w:hanging="414"/>
              <w:rPr>
                <w:rFonts w:eastAsia="Times New Roman"/>
                <w:color w:val="000000"/>
              </w:rPr>
            </w:pPr>
            <w:r w:rsidRPr="006F238C">
              <w:rPr>
                <w:rFonts w:eastAsia="Times New Roman"/>
                <w:color w:val="000000"/>
              </w:rPr>
              <w:t xml:space="preserve">     -Details of expenses for three years prior to coincide with revenue collections</w:t>
            </w:r>
          </w:p>
        </w:tc>
      </w:tr>
      <w:tr w:rsidR="00CC1280" w:rsidRPr="005E1BEC" w14:paraId="38A78B50" w14:textId="77777777" w:rsidTr="00CC1280">
        <w:trPr>
          <w:trHeight w:val="585"/>
        </w:trPr>
        <w:tc>
          <w:tcPr>
            <w:tcW w:w="156" w:type="pct"/>
          </w:tcPr>
          <w:p w14:paraId="58BD8CC2" w14:textId="77777777" w:rsidR="00CC1280" w:rsidRPr="10949C92" w:rsidRDefault="00CC1280" w:rsidP="0089618D">
            <w:pPr>
              <w:rPr>
                <w:rFonts w:eastAsia="Times New Roman"/>
                <w:color w:val="000000" w:themeColor="text1"/>
              </w:rPr>
            </w:pPr>
          </w:p>
        </w:tc>
        <w:tc>
          <w:tcPr>
            <w:tcW w:w="4844" w:type="pct"/>
            <w:hideMark/>
          </w:tcPr>
          <w:p w14:paraId="3555D3B5" w14:textId="7208DAC4" w:rsidR="00CC1280" w:rsidRPr="005E1BEC" w:rsidRDefault="00CC1280" w:rsidP="0089618D">
            <w:pPr>
              <w:rPr>
                <w:rFonts w:eastAsia="Times New Roman"/>
                <w:color w:val="000000"/>
              </w:rPr>
            </w:pPr>
            <w:r w:rsidRPr="10949C92">
              <w:rPr>
                <w:rFonts w:eastAsia="Times New Roman"/>
                <w:color w:val="000000" w:themeColor="text1"/>
              </w:rPr>
              <w:t>Any system regulated by the Public Utilities Regulatory Authority (PURA) must include a copy of their most recent Annual Report, and the following year’s report when it becomes available.</w:t>
            </w:r>
          </w:p>
        </w:tc>
      </w:tr>
    </w:tbl>
    <w:p w14:paraId="4DDF1EDD" w14:textId="77777777" w:rsidR="00CC1280" w:rsidRDefault="00A0272F" w:rsidP="007B41CF">
      <w:pPr>
        <w:spacing w:after="0" w:line="240" w:lineRule="auto"/>
      </w:pPr>
      <w:r>
        <w:t xml:space="preserve">*  </w:t>
      </w:r>
      <w:r w:rsidRPr="00A0272F">
        <w:t>The State may request project specific information and may vary according to the type of project.</w:t>
      </w:r>
    </w:p>
    <w:p w14:paraId="2CD24FA7" w14:textId="165B7689" w:rsidR="00CD6947" w:rsidRDefault="00A0272F" w:rsidP="007B41CF">
      <w:pPr>
        <w:spacing w:after="0" w:line="240" w:lineRule="auto"/>
        <w:rPr>
          <w:rFonts w:ascii="Arial" w:hAnsi="Arial" w:cs="Arial"/>
          <w:szCs w:val="20"/>
        </w:rPr>
      </w:pPr>
      <w:r>
        <w:t xml:space="preserve">*  </w:t>
      </w:r>
      <w:r w:rsidRPr="00A0272F">
        <w:t xml:space="preserve">A </w:t>
      </w:r>
      <w:proofErr w:type="gramStart"/>
      <w:r w:rsidRPr="00A0272F">
        <w:t>one year</w:t>
      </w:r>
      <w:proofErr w:type="gramEnd"/>
      <w:r w:rsidRPr="00A0272F">
        <w:t xml:space="preserve"> debt service reserve may be required in order to secure a DWSRF Loan.</w:t>
      </w:r>
    </w:p>
    <w:sectPr w:rsidR="00CD6947" w:rsidSect="00CC1280">
      <w:headerReference w:type="default" r:id="rId8"/>
      <w:footerReference w:type="default" r:id="rId9"/>
      <w:pgSz w:w="15840" w:h="12240" w:orient="landscape"/>
      <w:pgMar w:top="1354" w:right="1008" w:bottom="1267" w:left="1008"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2588" w14:textId="77777777" w:rsidR="0089618D" w:rsidRDefault="0089618D" w:rsidP="006E3556">
      <w:pPr>
        <w:spacing w:after="0" w:line="240" w:lineRule="auto"/>
      </w:pPr>
      <w:r>
        <w:separator/>
      </w:r>
    </w:p>
  </w:endnote>
  <w:endnote w:type="continuationSeparator" w:id="0">
    <w:p w14:paraId="58E82747" w14:textId="77777777" w:rsidR="0089618D" w:rsidRDefault="0089618D" w:rsidP="006E3556">
      <w:pPr>
        <w:spacing w:after="0" w:line="240" w:lineRule="auto"/>
      </w:pPr>
      <w:r>
        <w:continuationSeparator/>
      </w:r>
    </w:p>
  </w:endnote>
  <w:endnote w:type="continuationNotice" w:id="1">
    <w:p w14:paraId="3F0D3554" w14:textId="77777777" w:rsidR="0089618D" w:rsidRDefault="00896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5FC4" w14:textId="7D91AE9E" w:rsidR="00775E37" w:rsidRDefault="00576D36" w:rsidP="00EF7ADF">
    <w:pPr>
      <w:pStyle w:val="Footer"/>
      <w:jc w:val="right"/>
    </w:pPr>
    <w:r>
      <w:t>Appendix A – Fiscal &amp; Asset Management Plan</w:t>
    </w:r>
    <w:r w:rsidR="00470B61">
      <w:ptab w:relativeTo="margin" w:alignment="center" w:leader="none"/>
    </w:r>
    <w:r w:rsidR="00470B61">
      <w:ptab w:relativeTo="margin" w:alignment="right" w:leader="none"/>
    </w:r>
    <w:r w:rsidR="00470B61">
      <w:t xml:space="preserve">Page </w:t>
    </w:r>
    <w:r w:rsidR="00470B61">
      <w:fldChar w:fldCharType="begin"/>
    </w:r>
    <w:r w:rsidR="00470B61">
      <w:instrText xml:space="preserve"> PAGE   \* MERGEFORMAT </w:instrText>
    </w:r>
    <w:r w:rsidR="00470B61">
      <w:fldChar w:fldCharType="separate"/>
    </w:r>
    <w:r w:rsidR="00470B61">
      <w:t>1</w:t>
    </w:r>
    <w:r w:rsidR="00470B61">
      <w:rPr>
        <w:noProof/>
      </w:rPr>
      <w:fldChar w:fldCharType="end"/>
    </w:r>
    <w:r w:rsidR="00470B61">
      <w:rPr>
        <w:noProof/>
      </w:rPr>
      <w:t xml:space="preserve"> of </w:t>
    </w:r>
    <w:r w:rsidR="00470B61">
      <w:rPr>
        <w:noProof/>
      </w:rPr>
      <w:fldChar w:fldCharType="begin"/>
    </w:r>
    <w:r w:rsidR="00470B61">
      <w:rPr>
        <w:noProof/>
      </w:rPr>
      <w:instrText xml:space="preserve"> NUMPAGES   \* MERGEFORMAT </w:instrText>
    </w:r>
    <w:r w:rsidR="00470B61">
      <w:rPr>
        <w:noProof/>
      </w:rPr>
      <w:fldChar w:fldCharType="separate"/>
    </w:r>
    <w:r w:rsidR="00470B61">
      <w:rPr>
        <w:noProof/>
      </w:rPr>
      <w:t>1</w:t>
    </w:r>
    <w:r w:rsidR="00470B61">
      <w:rPr>
        <w:noProof/>
      </w:rPr>
      <w:fldChar w:fldCharType="end"/>
    </w:r>
    <w:r w:rsidR="00470B61">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508F8" w14:textId="77777777" w:rsidR="0089618D" w:rsidRDefault="0089618D" w:rsidP="006E3556">
      <w:pPr>
        <w:spacing w:after="0" w:line="240" w:lineRule="auto"/>
      </w:pPr>
      <w:r>
        <w:separator/>
      </w:r>
    </w:p>
  </w:footnote>
  <w:footnote w:type="continuationSeparator" w:id="0">
    <w:p w14:paraId="39DD3125" w14:textId="77777777" w:rsidR="0089618D" w:rsidRDefault="0089618D" w:rsidP="006E3556">
      <w:pPr>
        <w:spacing w:after="0" w:line="240" w:lineRule="auto"/>
      </w:pPr>
      <w:r>
        <w:continuationSeparator/>
      </w:r>
    </w:p>
  </w:footnote>
  <w:footnote w:type="continuationNotice" w:id="1">
    <w:p w14:paraId="7688A6BB" w14:textId="77777777" w:rsidR="0089618D" w:rsidRDefault="00896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7821" w14:textId="16412FF8" w:rsidR="00775E37" w:rsidRPr="0063484E" w:rsidRDefault="00D167D8" w:rsidP="00D167D8">
    <w:pPr>
      <w:pStyle w:val="Header"/>
      <w:jc w:val="center"/>
      <w:rPr>
        <w:b/>
      </w:rPr>
    </w:pPr>
    <w:r>
      <w:rPr>
        <w:b/>
        <w:noProof/>
      </w:rPr>
      <w:drawing>
        <wp:anchor distT="0" distB="0" distL="114300" distR="114300" simplePos="0" relativeHeight="251658241" behindDoc="0" locked="0" layoutInCell="1" allowOverlap="1" wp14:anchorId="2E65DBC4" wp14:editId="49BDA316">
          <wp:simplePos x="0" y="0"/>
          <wp:positionH relativeFrom="column">
            <wp:posOffset>8275499</wp:posOffset>
          </wp:positionH>
          <wp:positionV relativeFrom="paragraph">
            <wp:posOffset>-161290</wp:posOffset>
          </wp:positionV>
          <wp:extent cx="552450" cy="5563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6338"/>
                  </a:xfrm>
                  <a:prstGeom prst="rect">
                    <a:avLst/>
                  </a:prstGeom>
                  <a:noFill/>
                </pic:spPr>
              </pic:pic>
            </a:graphicData>
          </a:graphic>
          <wp14:sizeRelH relativeFrom="margin">
            <wp14:pctWidth>0</wp14:pctWidth>
          </wp14:sizeRelH>
          <wp14:sizeRelV relativeFrom="margin">
            <wp14:pctHeight>0</wp14:pctHeight>
          </wp14:sizeRelV>
        </wp:anchor>
      </w:drawing>
    </w:r>
    <w:r w:rsidR="004146B2" w:rsidRPr="00497CE1">
      <w:rPr>
        <w:rFonts w:ascii="Arial" w:hAnsi="Arial" w:cs="Arial"/>
        <w:noProof/>
        <w:sz w:val="32"/>
        <w:szCs w:val="32"/>
      </w:rPr>
      <w:drawing>
        <wp:anchor distT="0" distB="0" distL="114300" distR="114300" simplePos="0" relativeHeight="251658240" behindDoc="0" locked="0" layoutInCell="1" allowOverlap="1" wp14:anchorId="5D9B5986" wp14:editId="3CCFDEB2">
          <wp:simplePos x="0" y="0"/>
          <wp:positionH relativeFrom="column">
            <wp:posOffset>-7620</wp:posOffset>
          </wp:positionH>
          <wp:positionV relativeFrom="paragraph">
            <wp:posOffset>-147464</wp:posOffset>
          </wp:positionV>
          <wp:extent cx="539496" cy="539496"/>
          <wp:effectExtent l="0" t="0" r="0" b="0"/>
          <wp:wrapNone/>
          <wp:docPr id="6" name="Picture 0" descr="DPH-Color-CMYKwideONECOLORBL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DPH-Color-CMYKwideONECOLOR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37" w:rsidRPr="0063484E">
      <w:rPr>
        <w:b/>
      </w:rPr>
      <w:t>Connecticut Department of Public Health Drinking Water Section</w:t>
    </w:r>
  </w:p>
  <w:p w14:paraId="759B3751" w14:textId="6C48652E" w:rsidR="00775E37" w:rsidRPr="0063484E" w:rsidRDefault="00775E37" w:rsidP="00D167D8">
    <w:pPr>
      <w:pStyle w:val="Header"/>
      <w:jc w:val="center"/>
      <w:rPr>
        <w:b/>
      </w:rPr>
    </w:pPr>
    <w:r w:rsidRPr="0063484E">
      <w:rPr>
        <w:b/>
      </w:rPr>
      <w:t xml:space="preserve">Fiscal and Asset Management Form for Community Public Water Systems Serving less than 1000 </w:t>
    </w:r>
    <w:r>
      <w:rPr>
        <w:b/>
      </w:rPr>
      <w:t>Residents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06FA"/>
    <w:multiLevelType w:val="hybridMultilevel"/>
    <w:tmpl w:val="4210EA2A"/>
    <w:lvl w:ilvl="0" w:tplc="79F66F6E">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C522F"/>
    <w:multiLevelType w:val="hybridMultilevel"/>
    <w:tmpl w:val="7BD889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B25585"/>
    <w:multiLevelType w:val="hybridMultilevel"/>
    <w:tmpl w:val="2EC8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16716"/>
    <w:multiLevelType w:val="hybridMultilevel"/>
    <w:tmpl w:val="0BB45C14"/>
    <w:lvl w:ilvl="0" w:tplc="79F66F6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309BA"/>
    <w:multiLevelType w:val="hybridMultilevel"/>
    <w:tmpl w:val="41AE3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796994"/>
    <w:multiLevelType w:val="hybridMultilevel"/>
    <w:tmpl w:val="4440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E8"/>
    <w:rsid w:val="000145F5"/>
    <w:rsid w:val="00021D08"/>
    <w:rsid w:val="00024F8B"/>
    <w:rsid w:val="00035454"/>
    <w:rsid w:val="00036AB3"/>
    <w:rsid w:val="0004154B"/>
    <w:rsid w:val="000422BA"/>
    <w:rsid w:val="00042F52"/>
    <w:rsid w:val="00045B9F"/>
    <w:rsid w:val="00046A17"/>
    <w:rsid w:val="00054396"/>
    <w:rsid w:val="00061CB1"/>
    <w:rsid w:val="00076020"/>
    <w:rsid w:val="00091FB6"/>
    <w:rsid w:val="000A18BE"/>
    <w:rsid w:val="000A7985"/>
    <w:rsid w:val="000C5E4C"/>
    <w:rsid w:val="000D30F1"/>
    <w:rsid w:val="000D4A7C"/>
    <w:rsid w:val="000E3D9A"/>
    <w:rsid w:val="000E3F33"/>
    <w:rsid w:val="000E4F29"/>
    <w:rsid w:val="000E5182"/>
    <w:rsid w:val="000E5AD2"/>
    <w:rsid w:val="000F5393"/>
    <w:rsid w:val="001268D5"/>
    <w:rsid w:val="00133CDB"/>
    <w:rsid w:val="001400B4"/>
    <w:rsid w:val="0014762B"/>
    <w:rsid w:val="001479DF"/>
    <w:rsid w:val="00153F23"/>
    <w:rsid w:val="00171362"/>
    <w:rsid w:val="001819C7"/>
    <w:rsid w:val="00183082"/>
    <w:rsid w:val="001C0387"/>
    <w:rsid w:val="001D05FE"/>
    <w:rsid w:val="001F2F40"/>
    <w:rsid w:val="001F6DDC"/>
    <w:rsid w:val="0020620B"/>
    <w:rsid w:val="0021344D"/>
    <w:rsid w:val="00226C43"/>
    <w:rsid w:val="00250482"/>
    <w:rsid w:val="002532FA"/>
    <w:rsid w:val="00271B86"/>
    <w:rsid w:val="00283ED3"/>
    <w:rsid w:val="002917C1"/>
    <w:rsid w:val="00291A74"/>
    <w:rsid w:val="002927D3"/>
    <w:rsid w:val="002A22E5"/>
    <w:rsid w:val="002A2786"/>
    <w:rsid w:val="002A4EE0"/>
    <w:rsid w:val="002B7EB7"/>
    <w:rsid w:val="002D4F05"/>
    <w:rsid w:val="002E22CB"/>
    <w:rsid w:val="002E2D04"/>
    <w:rsid w:val="002E60B9"/>
    <w:rsid w:val="002F5703"/>
    <w:rsid w:val="003029BF"/>
    <w:rsid w:val="00310B87"/>
    <w:rsid w:val="003115FD"/>
    <w:rsid w:val="003248D1"/>
    <w:rsid w:val="00340B00"/>
    <w:rsid w:val="00351C3C"/>
    <w:rsid w:val="00357841"/>
    <w:rsid w:val="003673BA"/>
    <w:rsid w:val="0038228D"/>
    <w:rsid w:val="003A22A8"/>
    <w:rsid w:val="003A3D53"/>
    <w:rsid w:val="003A6088"/>
    <w:rsid w:val="003B5860"/>
    <w:rsid w:val="003B6A4C"/>
    <w:rsid w:val="003D1D99"/>
    <w:rsid w:val="003E6F86"/>
    <w:rsid w:val="003F5AAB"/>
    <w:rsid w:val="004018AC"/>
    <w:rsid w:val="00413B1C"/>
    <w:rsid w:val="00414441"/>
    <w:rsid w:val="004146B2"/>
    <w:rsid w:val="004201CE"/>
    <w:rsid w:val="0043468C"/>
    <w:rsid w:val="00442D5A"/>
    <w:rsid w:val="00445BF3"/>
    <w:rsid w:val="00452299"/>
    <w:rsid w:val="00453A86"/>
    <w:rsid w:val="00464A20"/>
    <w:rsid w:val="00464E47"/>
    <w:rsid w:val="0047099E"/>
    <w:rsid w:val="00470B61"/>
    <w:rsid w:val="004747CA"/>
    <w:rsid w:val="004875D0"/>
    <w:rsid w:val="004A37FC"/>
    <w:rsid w:val="004A6652"/>
    <w:rsid w:val="004C25BC"/>
    <w:rsid w:val="004C703C"/>
    <w:rsid w:val="004D4E37"/>
    <w:rsid w:val="004E4D18"/>
    <w:rsid w:val="004F23B7"/>
    <w:rsid w:val="00504C1A"/>
    <w:rsid w:val="00506FC1"/>
    <w:rsid w:val="00522F38"/>
    <w:rsid w:val="00526572"/>
    <w:rsid w:val="00535ED9"/>
    <w:rsid w:val="005368F6"/>
    <w:rsid w:val="0054776E"/>
    <w:rsid w:val="00555B55"/>
    <w:rsid w:val="0056679A"/>
    <w:rsid w:val="00566C1E"/>
    <w:rsid w:val="00567D42"/>
    <w:rsid w:val="00576D36"/>
    <w:rsid w:val="00577BFD"/>
    <w:rsid w:val="00585D95"/>
    <w:rsid w:val="00586FE8"/>
    <w:rsid w:val="0059677B"/>
    <w:rsid w:val="005A1CB1"/>
    <w:rsid w:val="005B56A5"/>
    <w:rsid w:val="005D74A8"/>
    <w:rsid w:val="005E4692"/>
    <w:rsid w:val="00606DBC"/>
    <w:rsid w:val="00610230"/>
    <w:rsid w:val="0061255C"/>
    <w:rsid w:val="00613F3F"/>
    <w:rsid w:val="00621FB2"/>
    <w:rsid w:val="0062459A"/>
    <w:rsid w:val="006341E9"/>
    <w:rsid w:val="0063484E"/>
    <w:rsid w:val="00636B49"/>
    <w:rsid w:val="006401F8"/>
    <w:rsid w:val="0064752D"/>
    <w:rsid w:val="00652B24"/>
    <w:rsid w:val="00654B0E"/>
    <w:rsid w:val="0068529D"/>
    <w:rsid w:val="006B2329"/>
    <w:rsid w:val="006B2B25"/>
    <w:rsid w:val="006B5D7C"/>
    <w:rsid w:val="006C1353"/>
    <w:rsid w:val="006D6EB7"/>
    <w:rsid w:val="006E3556"/>
    <w:rsid w:val="006F05D0"/>
    <w:rsid w:val="006F238C"/>
    <w:rsid w:val="006F3987"/>
    <w:rsid w:val="00701DF9"/>
    <w:rsid w:val="0073083E"/>
    <w:rsid w:val="00732236"/>
    <w:rsid w:val="0074160B"/>
    <w:rsid w:val="00775E37"/>
    <w:rsid w:val="00780B5A"/>
    <w:rsid w:val="0078157A"/>
    <w:rsid w:val="007A00A6"/>
    <w:rsid w:val="007A65E8"/>
    <w:rsid w:val="007B41CF"/>
    <w:rsid w:val="007D1F6E"/>
    <w:rsid w:val="007E7874"/>
    <w:rsid w:val="007F1759"/>
    <w:rsid w:val="008039AF"/>
    <w:rsid w:val="008101CF"/>
    <w:rsid w:val="00813748"/>
    <w:rsid w:val="00816C6E"/>
    <w:rsid w:val="00823A12"/>
    <w:rsid w:val="0085247B"/>
    <w:rsid w:val="00862A99"/>
    <w:rsid w:val="00872C45"/>
    <w:rsid w:val="008834B6"/>
    <w:rsid w:val="0089068E"/>
    <w:rsid w:val="0089618D"/>
    <w:rsid w:val="008A3833"/>
    <w:rsid w:val="008A4583"/>
    <w:rsid w:val="008B451A"/>
    <w:rsid w:val="008C7101"/>
    <w:rsid w:val="008D3803"/>
    <w:rsid w:val="008D758F"/>
    <w:rsid w:val="008E7C71"/>
    <w:rsid w:val="008F1215"/>
    <w:rsid w:val="008F3767"/>
    <w:rsid w:val="00900EB7"/>
    <w:rsid w:val="00914BB5"/>
    <w:rsid w:val="00914DBD"/>
    <w:rsid w:val="00920B58"/>
    <w:rsid w:val="0092320E"/>
    <w:rsid w:val="0092366F"/>
    <w:rsid w:val="00926E9B"/>
    <w:rsid w:val="00943CB0"/>
    <w:rsid w:val="00965B0B"/>
    <w:rsid w:val="009675F8"/>
    <w:rsid w:val="00973D74"/>
    <w:rsid w:val="00982DAA"/>
    <w:rsid w:val="00990A9C"/>
    <w:rsid w:val="009A1736"/>
    <w:rsid w:val="009A2622"/>
    <w:rsid w:val="009D30B4"/>
    <w:rsid w:val="009D6D8F"/>
    <w:rsid w:val="00A0034D"/>
    <w:rsid w:val="00A0272F"/>
    <w:rsid w:val="00A0671E"/>
    <w:rsid w:val="00A23792"/>
    <w:rsid w:val="00A24726"/>
    <w:rsid w:val="00A418F0"/>
    <w:rsid w:val="00A43074"/>
    <w:rsid w:val="00A47E8E"/>
    <w:rsid w:val="00A60F39"/>
    <w:rsid w:val="00A81629"/>
    <w:rsid w:val="00A900ED"/>
    <w:rsid w:val="00A94FD0"/>
    <w:rsid w:val="00A963A3"/>
    <w:rsid w:val="00A9775C"/>
    <w:rsid w:val="00AD5A20"/>
    <w:rsid w:val="00B02484"/>
    <w:rsid w:val="00B04D1C"/>
    <w:rsid w:val="00B17143"/>
    <w:rsid w:val="00B4677B"/>
    <w:rsid w:val="00B5041D"/>
    <w:rsid w:val="00B51181"/>
    <w:rsid w:val="00B60DF4"/>
    <w:rsid w:val="00B62790"/>
    <w:rsid w:val="00B7129B"/>
    <w:rsid w:val="00B9669A"/>
    <w:rsid w:val="00BA2168"/>
    <w:rsid w:val="00BB5F2D"/>
    <w:rsid w:val="00BC0915"/>
    <w:rsid w:val="00BC43A1"/>
    <w:rsid w:val="00BC6481"/>
    <w:rsid w:val="00BF0865"/>
    <w:rsid w:val="00BF555C"/>
    <w:rsid w:val="00C1445B"/>
    <w:rsid w:val="00C302FB"/>
    <w:rsid w:val="00C31699"/>
    <w:rsid w:val="00C36ACB"/>
    <w:rsid w:val="00C36D2B"/>
    <w:rsid w:val="00C4001F"/>
    <w:rsid w:val="00C50953"/>
    <w:rsid w:val="00C51AD4"/>
    <w:rsid w:val="00C6071B"/>
    <w:rsid w:val="00C618AD"/>
    <w:rsid w:val="00C743B9"/>
    <w:rsid w:val="00C81EE7"/>
    <w:rsid w:val="00C84470"/>
    <w:rsid w:val="00C908A6"/>
    <w:rsid w:val="00C90BA5"/>
    <w:rsid w:val="00C94771"/>
    <w:rsid w:val="00C9699A"/>
    <w:rsid w:val="00CA51FB"/>
    <w:rsid w:val="00CA5C66"/>
    <w:rsid w:val="00CB2F17"/>
    <w:rsid w:val="00CB3104"/>
    <w:rsid w:val="00CB5CAB"/>
    <w:rsid w:val="00CB6CEF"/>
    <w:rsid w:val="00CC1280"/>
    <w:rsid w:val="00CC4D15"/>
    <w:rsid w:val="00CC5F13"/>
    <w:rsid w:val="00CC60B3"/>
    <w:rsid w:val="00CD6947"/>
    <w:rsid w:val="00CE03BC"/>
    <w:rsid w:val="00CE2C61"/>
    <w:rsid w:val="00CE397C"/>
    <w:rsid w:val="00CE7BFB"/>
    <w:rsid w:val="00CF0069"/>
    <w:rsid w:val="00CF4AE0"/>
    <w:rsid w:val="00D05943"/>
    <w:rsid w:val="00D13A1C"/>
    <w:rsid w:val="00D167D8"/>
    <w:rsid w:val="00D31865"/>
    <w:rsid w:val="00D31AD2"/>
    <w:rsid w:val="00D32E86"/>
    <w:rsid w:val="00D5798D"/>
    <w:rsid w:val="00D6606D"/>
    <w:rsid w:val="00D70F19"/>
    <w:rsid w:val="00D71EEF"/>
    <w:rsid w:val="00D7469E"/>
    <w:rsid w:val="00DA183B"/>
    <w:rsid w:val="00DA7651"/>
    <w:rsid w:val="00DB3F70"/>
    <w:rsid w:val="00DC6990"/>
    <w:rsid w:val="00DF277B"/>
    <w:rsid w:val="00DF5D00"/>
    <w:rsid w:val="00E05260"/>
    <w:rsid w:val="00E0633E"/>
    <w:rsid w:val="00E3075A"/>
    <w:rsid w:val="00E423E3"/>
    <w:rsid w:val="00E45AB7"/>
    <w:rsid w:val="00E46EC1"/>
    <w:rsid w:val="00E50C6E"/>
    <w:rsid w:val="00E6749C"/>
    <w:rsid w:val="00E827E6"/>
    <w:rsid w:val="00E82C7E"/>
    <w:rsid w:val="00E83954"/>
    <w:rsid w:val="00EB5F91"/>
    <w:rsid w:val="00EC22D9"/>
    <w:rsid w:val="00EC5604"/>
    <w:rsid w:val="00ED38AD"/>
    <w:rsid w:val="00EF7ADF"/>
    <w:rsid w:val="00F0541A"/>
    <w:rsid w:val="00F3563A"/>
    <w:rsid w:val="00F36FF6"/>
    <w:rsid w:val="00F424E3"/>
    <w:rsid w:val="00F5733D"/>
    <w:rsid w:val="00F72F64"/>
    <w:rsid w:val="00F87903"/>
    <w:rsid w:val="00F92508"/>
    <w:rsid w:val="00F95B2C"/>
    <w:rsid w:val="00F97FEB"/>
    <w:rsid w:val="00FA3B68"/>
    <w:rsid w:val="00FB6DC3"/>
    <w:rsid w:val="00FC0F49"/>
    <w:rsid w:val="00FC4E76"/>
    <w:rsid w:val="00FC7A6B"/>
    <w:rsid w:val="00FD557A"/>
    <w:rsid w:val="00FE3B9C"/>
    <w:rsid w:val="00FE3C6F"/>
    <w:rsid w:val="00FE465B"/>
    <w:rsid w:val="00FE6C02"/>
    <w:rsid w:val="00FE6C9F"/>
    <w:rsid w:val="10949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638D7"/>
  <w15:chartTrackingRefBased/>
  <w15:docId w15:val="{40011EB8-B4D2-46B8-8BB5-16C73E8F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B0B"/>
    <w:rPr>
      <w:sz w:val="16"/>
      <w:szCs w:val="16"/>
    </w:rPr>
  </w:style>
  <w:style w:type="paragraph" w:styleId="CommentText">
    <w:name w:val="annotation text"/>
    <w:basedOn w:val="Normal"/>
    <w:link w:val="CommentTextChar"/>
    <w:uiPriority w:val="99"/>
    <w:semiHidden/>
    <w:unhideWhenUsed/>
    <w:rsid w:val="00965B0B"/>
    <w:pPr>
      <w:spacing w:line="240" w:lineRule="auto"/>
    </w:pPr>
    <w:rPr>
      <w:sz w:val="20"/>
      <w:szCs w:val="20"/>
    </w:rPr>
  </w:style>
  <w:style w:type="character" w:customStyle="1" w:styleId="CommentTextChar">
    <w:name w:val="Comment Text Char"/>
    <w:basedOn w:val="DefaultParagraphFont"/>
    <w:link w:val="CommentText"/>
    <w:uiPriority w:val="99"/>
    <w:semiHidden/>
    <w:rsid w:val="00965B0B"/>
    <w:rPr>
      <w:sz w:val="20"/>
      <w:szCs w:val="20"/>
    </w:rPr>
  </w:style>
  <w:style w:type="paragraph" w:styleId="CommentSubject">
    <w:name w:val="annotation subject"/>
    <w:basedOn w:val="CommentText"/>
    <w:next w:val="CommentText"/>
    <w:link w:val="CommentSubjectChar"/>
    <w:uiPriority w:val="99"/>
    <w:semiHidden/>
    <w:unhideWhenUsed/>
    <w:rsid w:val="00965B0B"/>
    <w:rPr>
      <w:b/>
      <w:bCs/>
    </w:rPr>
  </w:style>
  <w:style w:type="character" w:customStyle="1" w:styleId="CommentSubjectChar">
    <w:name w:val="Comment Subject Char"/>
    <w:basedOn w:val="CommentTextChar"/>
    <w:link w:val="CommentSubject"/>
    <w:uiPriority w:val="99"/>
    <w:semiHidden/>
    <w:rsid w:val="00965B0B"/>
    <w:rPr>
      <w:b/>
      <w:bCs/>
      <w:sz w:val="20"/>
      <w:szCs w:val="20"/>
    </w:rPr>
  </w:style>
  <w:style w:type="paragraph" w:styleId="BalloonText">
    <w:name w:val="Balloon Text"/>
    <w:basedOn w:val="Normal"/>
    <w:link w:val="BalloonTextChar"/>
    <w:uiPriority w:val="99"/>
    <w:semiHidden/>
    <w:unhideWhenUsed/>
    <w:rsid w:val="0096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B0B"/>
    <w:rPr>
      <w:rFonts w:ascii="Segoe UI" w:hAnsi="Segoe UI" w:cs="Segoe UI"/>
      <w:sz w:val="18"/>
      <w:szCs w:val="18"/>
    </w:rPr>
  </w:style>
  <w:style w:type="paragraph" w:styleId="Header">
    <w:name w:val="header"/>
    <w:basedOn w:val="Normal"/>
    <w:link w:val="HeaderChar"/>
    <w:unhideWhenUsed/>
    <w:rsid w:val="006E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56"/>
  </w:style>
  <w:style w:type="paragraph" w:styleId="Footer">
    <w:name w:val="footer"/>
    <w:basedOn w:val="Normal"/>
    <w:link w:val="FooterChar"/>
    <w:uiPriority w:val="99"/>
    <w:unhideWhenUsed/>
    <w:rsid w:val="006E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56"/>
  </w:style>
  <w:style w:type="paragraph" w:styleId="ListParagraph">
    <w:name w:val="List Paragraph"/>
    <w:basedOn w:val="Normal"/>
    <w:uiPriority w:val="34"/>
    <w:qFormat/>
    <w:rsid w:val="00914BB5"/>
    <w:pPr>
      <w:ind w:left="720"/>
      <w:contextualSpacing/>
    </w:pPr>
  </w:style>
  <w:style w:type="paragraph" w:styleId="Revision">
    <w:name w:val="Revision"/>
    <w:hidden/>
    <w:uiPriority w:val="99"/>
    <w:semiHidden/>
    <w:rsid w:val="00340B00"/>
    <w:pPr>
      <w:spacing w:after="0" w:line="240" w:lineRule="auto"/>
    </w:pPr>
  </w:style>
  <w:style w:type="paragraph" w:customStyle="1" w:styleId="Default">
    <w:name w:val="Default"/>
    <w:rsid w:val="0004154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8101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01CF"/>
    <w:rPr>
      <w:sz w:val="20"/>
      <w:szCs w:val="20"/>
    </w:rPr>
  </w:style>
  <w:style w:type="character" w:styleId="EndnoteReference">
    <w:name w:val="endnote reference"/>
    <w:basedOn w:val="DefaultParagraphFont"/>
    <w:uiPriority w:val="99"/>
    <w:semiHidden/>
    <w:unhideWhenUsed/>
    <w:rsid w:val="00810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0934">
      <w:bodyDiv w:val="1"/>
      <w:marLeft w:val="0"/>
      <w:marRight w:val="0"/>
      <w:marTop w:val="0"/>
      <w:marBottom w:val="0"/>
      <w:divBdr>
        <w:top w:val="none" w:sz="0" w:space="0" w:color="auto"/>
        <w:left w:val="none" w:sz="0" w:space="0" w:color="auto"/>
        <w:bottom w:val="none" w:sz="0" w:space="0" w:color="auto"/>
        <w:right w:val="none" w:sz="0" w:space="0" w:color="auto"/>
      </w:divBdr>
    </w:div>
    <w:div w:id="130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E2CD-2AD1-4239-8C27-7F3750A1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Wallach, Mathew</dc:creator>
  <cp:keywords/>
  <dc:description/>
  <cp:lastModifiedBy>Smith, Mandy</cp:lastModifiedBy>
  <cp:revision>2</cp:revision>
  <cp:lastPrinted>2019-10-25T20:29:00Z</cp:lastPrinted>
  <dcterms:created xsi:type="dcterms:W3CDTF">2020-02-28T18:45:00Z</dcterms:created>
  <dcterms:modified xsi:type="dcterms:W3CDTF">2020-02-28T18:45:00Z</dcterms:modified>
</cp:coreProperties>
</file>