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FF97" w14:textId="77777777" w:rsidR="00B40AC9" w:rsidRDefault="00B40AC9" w:rsidP="00B40AC9">
      <w:pPr>
        <w:tabs>
          <w:tab w:val="num" w:pos="720"/>
        </w:tabs>
        <w:spacing w:before="100" w:beforeAutospacing="1" w:after="100" w:afterAutospacing="1"/>
        <w:ind w:left="720" w:hanging="360"/>
      </w:pPr>
    </w:p>
    <w:p w14:paraId="1C5D6D03" w14:textId="60BD26C1" w:rsidR="00B40AC9" w:rsidRDefault="00B40AC9" w:rsidP="00B40AC9">
      <w:p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Large State Contractors – Office of the State Comptroller – March 1, 2025</w:t>
      </w:r>
    </w:p>
    <w:p w14:paraId="4AF8E0F6" w14:textId="20313F7D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Accenture LLP</w:t>
      </w:r>
    </w:p>
    <w:p w14:paraId="48DB25BE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Aetna - Aetna Life Insurance Company</w:t>
      </w:r>
    </w:p>
    <w:p w14:paraId="1A43C4D7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Anthem - Elevance Health, Inc. (f/k/a Anthem Blue Cross and Blue Shield)</w:t>
      </w:r>
    </w:p>
    <w:p w14:paraId="34E32547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CVS - </w:t>
      </w:r>
      <w:proofErr w:type="spellStart"/>
      <w:r>
        <w:rPr>
          <w:rFonts w:eastAsia="Times New Roman"/>
          <w:color w:val="000000"/>
        </w:rPr>
        <w:t>CaremarkPCS</w:t>
      </w:r>
      <w:proofErr w:type="spellEnd"/>
      <w:r>
        <w:rPr>
          <w:rFonts w:eastAsia="Times New Roman"/>
          <w:color w:val="000000"/>
        </w:rPr>
        <w:t xml:space="preserve"> Health, L.L.C.</w:t>
      </w:r>
    </w:p>
    <w:p w14:paraId="0919DEFA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Cigna - Cigna Health and Life Insurance Company (CHLIC) and Cigna Healthcare of Connecticut, Inc.</w:t>
      </w:r>
    </w:p>
    <w:p w14:paraId="408BC98E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Empower (formerly Prudential)</w:t>
      </w:r>
    </w:p>
    <w:p w14:paraId="4DC010EC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Flyte - </w:t>
      </w:r>
      <w:proofErr w:type="spellStart"/>
      <w:r>
        <w:rPr>
          <w:rFonts w:eastAsia="Times New Roman"/>
          <w:color w:val="000000"/>
        </w:rPr>
        <w:t>Intellihealth</w:t>
      </w:r>
      <w:proofErr w:type="spellEnd"/>
      <w:r>
        <w:rPr>
          <w:rFonts w:eastAsia="Times New Roman"/>
          <w:color w:val="000000"/>
        </w:rPr>
        <w:t xml:space="preserve">, Inc. dba </w:t>
      </w:r>
      <w:proofErr w:type="spellStart"/>
      <w:r>
        <w:rPr>
          <w:rFonts w:eastAsia="Times New Roman"/>
          <w:color w:val="000000"/>
        </w:rPr>
        <w:t>FlyteHealth</w:t>
      </w:r>
      <w:proofErr w:type="spellEnd"/>
    </w:p>
    <w:p w14:paraId="5C55FA62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Quantum - Quantum Health, Inc.</w:t>
      </w:r>
    </w:p>
    <w:p w14:paraId="69737AD5" w14:textId="77777777" w:rsidR="00B40AC9" w:rsidRDefault="00B40AC9" w:rsidP="00B40AC9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Vestwell</w:t>
      </w:r>
      <w:proofErr w:type="spellEnd"/>
      <w:r>
        <w:rPr>
          <w:rFonts w:eastAsia="Times New Roman"/>
          <w:color w:val="000000"/>
        </w:rPr>
        <w:t xml:space="preserve"> State Savings</w:t>
      </w:r>
    </w:p>
    <w:p w14:paraId="2539CC31" w14:textId="77777777" w:rsidR="00BA498E" w:rsidRDefault="00BA498E"/>
    <w:sectPr w:rsidR="00BA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03BB9"/>
    <w:multiLevelType w:val="multilevel"/>
    <w:tmpl w:val="B18C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61004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C9"/>
    <w:rsid w:val="001A3F0A"/>
    <w:rsid w:val="00B40AC9"/>
    <w:rsid w:val="00BA498E"/>
    <w:rsid w:val="00E704F6"/>
    <w:rsid w:val="00E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82E6"/>
  <w15:chartTrackingRefBased/>
  <w15:docId w15:val="{B78B7CF5-10CA-4FFE-87A5-6D2488DB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AC9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A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Jon</dc:creator>
  <cp:keywords/>
  <dc:description/>
  <cp:lastModifiedBy>Fitzgerald, Jon</cp:lastModifiedBy>
  <cp:revision>1</cp:revision>
  <dcterms:created xsi:type="dcterms:W3CDTF">2025-03-10T18:04:00Z</dcterms:created>
  <dcterms:modified xsi:type="dcterms:W3CDTF">2025-03-10T18:06:00Z</dcterms:modified>
</cp:coreProperties>
</file>