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1C" w:rsidRDefault="00FB2635">
      <w:r>
        <w:rPr>
          <w:noProof/>
        </w:rPr>
        <mc:AlternateContent>
          <mc:Choice Requires="wps">
            <w:drawing>
              <wp:anchor distT="36576" distB="36576" distL="36576" distR="36576" simplePos="0" relativeHeight="251667456" behindDoc="0" locked="0" layoutInCell="1" allowOverlap="1" wp14:anchorId="01502212" wp14:editId="7A37CF86">
                <wp:simplePos x="0" y="0"/>
                <wp:positionH relativeFrom="page">
                  <wp:posOffset>895350</wp:posOffset>
                </wp:positionH>
                <wp:positionV relativeFrom="page">
                  <wp:posOffset>314325</wp:posOffset>
                </wp:positionV>
                <wp:extent cx="5965825" cy="1533525"/>
                <wp:effectExtent l="0" t="0" r="34925" b="666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65825" cy="1533525"/>
                        </a:xfrm>
                        <a:prstGeom prst="rect">
                          <a:avLst/>
                        </a:prstGeom>
                        <a:solidFill>
                          <a:schemeClr val="accent4">
                            <a:lumMod val="20000"/>
                            <a:lumOff val="80000"/>
                          </a:schemeClr>
                        </a:solidFill>
                        <a:ln w="12700" cmpd="sng" algn="in">
                          <a:solidFill>
                            <a:srgbClr val="9BBB59">
                              <a:lumMod val="60000"/>
                              <a:lumOff val="40000"/>
                            </a:srgbClr>
                          </a:solidFill>
                          <a:prstDash val="solid"/>
                          <a:miter lim="800000"/>
                          <a:headEnd/>
                          <a:tailEnd/>
                        </a:ln>
                        <a:effectLst>
                          <a:outerShdw dist="28398" dir="3806097" algn="ctr" rotWithShape="0">
                            <a:srgbClr val="9BBB59">
                              <a:lumMod val="50000"/>
                              <a:lumOff val="0"/>
                              <a:alpha val="50000"/>
                            </a:srgbClr>
                          </a:outerShdw>
                        </a:effectLst>
                      </wps:spPr>
                      <wps:txbx>
                        <w:txbxContent>
                          <w:p w:rsidR="00742818" w:rsidRPr="00F86B84" w:rsidRDefault="00742818" w:rsidP="00FB2635">
                            <w:pPr>
                              <w:pStyle w:val="Masthead"/>
                              <w:jc w:val="center"/>
                              <w:rPr>
                                <w:rFonts w:ascii="Candara" w:hAnsi="Candara"/>
                                <w:b/>
                                <w:sz w:val="24"/>
                                <w:szCs w:val="24"/>
                              </w:rPr>
                            </w:pPr>
                            <w:r w:rsidRPr="00F86B84">
                              <w:rPr>
                                <w:rFonts w:ascii="Candara" w:hAnsi="Candara"/>
                                <w:b/>
                                <w:sz w:val="24"/>
                                <w:szCs w:val="24"/>
                              </w:rPr>
                              <w:t>Department of Social Services</w:t>
                            </w:r>
                          </w:p>
                          <w:p w:rsidR="00742818" w:rsidRPr="00F86B84" w:rsidRDefault="00742818" w:rsidP="00FB2635">
                            <w:pPr>
                              <w:pStyle w:val="Masthead"/>
                              <w:jc w:val="center"/>
                              <w:rPr>
                                <w:rFonts w:ascii="Candara" w:hAnsi="Candara"/>
                                <w:b/>
                                <w:sz w:val="24"/>
                                <w:szCs w:val="24"/>
                              </w:rPr>
                            </w:pPr>
                            <w:r w:rsidRPr="00F86B84">
                              <w:rPr>
                                <w:rFonts w:ascii="Candara" w:hAnsi="Candara"/>
                                <w:b/>
                                <w:sz w:val="24"/>
                                <w:szCs w:val="24"/>
                              </w:rPr>
                              <w:t>Community Options</w:t>
                            </w:r>
                          </w:p>
                          <w:p w:rsidR="00637607" w:rsidRDefault="00742818" w:rsidP="00FB2635">
                            <w:pPr>
                              <w:pStyle w:val="Masthead"/>
                              <w:jc w:val="center"/>
                              <w:rPr>
                                <w:rFonts w:ascii="Candara" w:hAnsi="Candara"/>
                                <w:b/>
                                <w:sz w:val="24"/>
                                <w:szCs w:val="24"/>
                              </w:rPr>
                            </w:pPr>
                            <w:r w:rsidRPr="00F86B84">
                              <w:rPr>
                                <w:rFonts w:ascii="Candara" w:hAnsi="Candara"/>
                                <w:b/>
                                <w:sz w:val="24"/>
                                <w:szCs w:val="24"/>
                              </w:rPr>
                              <w:t>Quality Assurance Newsletter</w:t>
                            </w:r>
                          </w:p>
                          <w:p w:rsidR="00742818" w:rsidRDefault="00637607" w:rsidP="00FB2635">
                            <w:pPr>
                              <w:pStyle w:val="Masthead"/>
                              <w:jc w:val="center"/>
                              <w:rPr>
                                <w:rFonts w:ascii="Candara" w:hAnsi="Candara"/>
                                <w:b/>
                                <w:sz w:val="24"/>
                                <w:szCs w:val="24"/>
                              </w:rPr>
                            </w:pPr>
                            <w:r>
                              <w:rPr>
                                <w:rFonts w:ascii="Candara" w:hAnsi="Candara"/>
                                <w:b/>
                                <w:sz w:val="24"/>
                                <w:szCs w:val="24"/>
                              </w:rPr>
                              <w:t>April 2019</w:t>
                            </w:r>
                            <w:r w:rsidR="00742818">
                              <w:rPr>
                                <w:rFonts w:ascii="Candara" w:hAnsi="Candara"/>
                                <w:b/>
                                <w:sz w:val="24"/>
                                <w:szCs w:val="24"/>
                              </w:rPr>
                              <w:t xml:space="preserve"> </w:t>
                            </w:r>
                          </w:p>
                          <w:p w:rsidR="00742818" w:rsidRPr="00151032" w:rsidRDefault="00637607" w:rsidP="00FB2635">
                            <w:pPr>
                              <w:pStyle w:val="Masthead"/>
                              <w:jc w:val="center"/>
                              <w:rPr>
                                <w:rFonts w:ascii="Candara" w:hAnsi="Candara"/>
                                <w:b/>
                                <w:sz w:val="24"/>
                                <w:szCs w:val="24"/>
                              </w:rPr>
                            </w:pPr>
                            <w:r w:rsidRPr="00637607">
                              <w:rPr>
                                <w:rFonts w:ascii="Helvetica" w:hAnsi="Helvetica" w:cs="Helvetica"/>
                                <w:noProof/>
                                <w:color w:val="000000"/>
                                <w:sz w:val="20"/>
                                <w:szCs w:val="20"/>
                              </w:rPr>
                              <w:t xml:space="preserve"> </w:t>
                            </w:r>
                            <w:r>
                              <w:rPr>
                                <w:rFonts w:ascii="Helvetica" w:hAnsi="Helvetica" w:cs="Helvetica"/>
                                <w:noProof/>
                                <w:color w:val="000000"/>
                                <w:sz w:val="20"/>
                                <w:szCs w:val="20"/>
                              </w:rPr>
                              <w:drawing>
                                <wp:inline distT="0" distB="0" distL="0" distR="0" wp14:anchorId="4FD13951" wp14:editId="7195E72F">
                                  <wp:extent cx="676275" cy="676275"/>
                                  <wp:effectExtent l="0" t="0" r="9525" b="9525"/>
                                  <wp:docPr id="3" name="img" descr="https://tse2.mm.bing.net/th?id=OIP.yY54SYZ7FyPeVejKn14BawHaHZ&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tse2.mm.bing.net/th?id=OIP.yY54SYZ7FyPeVejKn14BawHaHZ&amp;pid=15.1&amp;P=0&amp;w=300&amp;h=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0.5pt;margin-top:24.75pt;width:469.75pt;height:120.75pt;z-index:2516674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" fillcolor="#e5dfec [663]" strokecolor="#c3d69b" strokeweight="1pt" insetpen="t">
                <v:shadow on="t" color="#4f6228" opacity=".5" offset="1pt"/>
                <o:lock v:ext="edit" shapetype="t"/>
                <v:textbox inset="2.85pt,2.85pt,2.85pt,2.85pt">
                  <w:txbxContent>
                    <w:p w:rsidR="00742818" w:rsidRPr="00F86B84" w:rsidRDefault="00742818" w:rsidP="00FB2635">
                      <w:pPr>
                        <w:pStyle w:val="Masthead"/>
                        <w:jc w:val="center"/>
                        <w:rPr>
                          <w:rFonts w:ascii="Candara" w:hAnsi="Candara"/>
                          <w:b/>
                          <w:sz w:val="24"/>
                          <w:szCs w:val="24"/>
                        </w:rPr>
                      </w:pPr>
                      <w:r w:rsidRPr="00F86B84">
                        <w:rPr>
                          <w:rFonts w:ascii="Candara" w:hAnsi="Candara"/>
                          <w:b/>
                          <w:sz w:val="24"/>
                          <w:szCs w:val="24"/>
                        </w:rPr>
                        <w:t>Department of Social Services</w:t>
                      </w:r>
                    </w:p>
                    <w:p w:rsidR="00742818" w:rsidRPr="00F86B84" w:rsidRDefault="00742818" w:rsidP="00FB2635">
                      <w:pPr>
                        <w:pStyle w:val="Masthead"/>
                        <w:jc w:val="center"/>
                        <w:rPr>
                          <w:rFonts w:ascii="Candara" w:hAnsi="Candara"/>
                          <w:b/>
                          <w:sz w:val="24"/>
                          <w:szCs w:val="24"/>
                        </w:rPr>
                      </w:pPr>
                      <w:r w:rsidRPr="00F86B84">
                        <w:rPr>
                          <w:rFonts w:ascii="Candara" w:hAnsi="Candara"/>
                          <w:b/>
                          <w:sz w:val="24"/>
                          <w:szCs w:val="24"/>
                        </w:rPr>
                        <w:t>Community Options</w:t>
                      </w:r>
                    </w:p>
                    <w:p w:rsidR="00637607" w:rsidRDefault="00742818" w:rsidP="00FB2635">
                      <w:pPr>
                        <w:pStyle w:val="Masthead"/>
                        <w:jc w:val="center"/>
                        <w:rPr>
                          <w:rFonts w:ascii="Candara" w:hAnsi="Candara"/>
                          <w:b/>
                          <w:sz w:val="24"/>
                          <w:szCs w:val="24"/>
                        </w:rPr>
                      </w:pPr>
                      <w:r w:rsidRPr="00F86B84">
                        <w:rPr>
                          <w:rFonts w:ascii="Candara" w:hAnsi="Candara"/>
                          <w:b/>
                          <w:sz w:val="24"/>
                          <w:szCs w:val="24"/>
                        </w:rPr>
                        <w:t>Quality Assurance Newsletter</w:t>
                      </w:r>
                    </w:p>
                    <w:p w:rsidR="00742818" w:rsidRDefault="00637607" w:rsidP="00FB2635">
                      <w:pPr>
                        <w:pStyle w:val="Masthead"/>
                        <w:jc w:val="center"/>
                        <w:rPr>
                          <w:rFonts w:ascii="Candara" w:hAnsi="Candara"/>
                          <w:b/>
                          <w:sz w:val="24"/>
                          <w:szCs w:val="24"/>
                        </w:rPr>
                      </w:pPr>
                      <w:r>
                        <w:rPr>
                          <w:rFonts w:ascii="Candara" w:hAnsi="Candara"/>
                          <w:b/>
                          <w:sz w:val="24"/>
                          <w:szCs w:val="24"/>
                        </w:rPr>
                        <w:t>April 2019</w:t>
                      </w:r>
                      <w:r w:rsidR="00742818">
                        <w:rPr>
                          <w:rFonts w:ascii="Candara" w:hAnsi="Candara"/>
                          <w:b/>
                          <w:sz w:val="24"/>
                          <w:szCs w:val="24"/>
                        </w:rPr>
                        <w:t xml:space="preserve"> </w:t>
                      </w:r>
                    </w:p>
                    <w:p w:rsidR="00742818" w:rsidRPr="00151032" w:rsidRDefault="00637607" w:rsidP="00FB2635">
                      <w:pPr>
                        <w:pStyle w:val="Masthead"/>
                        <w:jc w:val="center"/>
                        <w:rPr>
                          <w:rFonts w:ascii="Candara" w:hAnsi="Candara"/>
                          <w:b/>
                          <w:sz w:val="24"/>
                          <w:szCs w:val="24"/>
                        </w:rPr>
                      </w:pPr>
                      <w:r w:rsidRPr="00637607">
                        <w:rPr>
                          <w:rFonts w:ascii="Helvetica" w:hAnsi="Helvetica" w:cs="Helvetica"/>
                          <w:noProof/>
                          <w:color w:val="000000"/>
                          <w:sz w:val="20"/>
                          <w:szCs w:val="20"/>
                        </w:rPr>
                        <w:t xml:space="preserve"> </w:t>
                      </w:r>
                      <w:r>
                        <w:rPr>
                          <w:rFonts w:ascii="Helvetica" w:hAnsi="Helvetica" w:cs="Helvetica"/>
                          <w:noProof/>
                          <w:color w:val="000000"/>
                          <w:sz w:val="20"/>
                          <w:szCs w:val="20"/>
                        </w:rPr>
                        <w:drawing>
                          <wp:inline distT="0" distB="0" distL="0" distR="0" wp14:anchorId="4FD13951" wp14:editId="7195E72F">
                            <wp:extent cx="676275" cy="676275"/>
                            <wp:effectExtent l="0" t="0" r="9525" b="9525"/>
                            <wp:docPr id="3" name="img" descr="https://tse2.mm.bing.net/th?id=OIP.yY54SYZ7FyPeVejKn14BawHaHZ&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tse2.mm.bing.net/th?id=OIP.yY54SYZ7FyPeVejKn14BawHaHZ&amp;pid=15.1&amp;P=0&amp;w=300&amp;h=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v:textbox>
                <w10:wrap anchorx="page" anchory="page"/>
              </v:shape>
            </w:pict>
          </mc:Fallback>
        </mc:AlternateContent>
      </w:r>
    </w:p>
    <w:p w:rsidR="005F431C" w:rsidRDefault="000B2BF4">
      <w:r w:rsidRPr="00A73CFC">
        <w:rPr>
          <w:rFonts w:eastAsiaTheme="minorEastAsia" w:cs="Times New Roman"/>
          <w:noProof/>
          <w:sz w:val="24"/>
          <w:szCs w:val="24"/>
        </w:rPr>
        <mc:AlternateContent>
          <mc:Choice Requires="wps">
            <w:drawing>
              <wp:anchor distT="0" distB="0" distL="114300" distR="114300" simplePos="0" relativeHeight="251663360" behindDoc="0" locked="0" layoutInCell="0" allowOverlap="1" wp14:anchorId="08AFB56E" wp14:editId="57CFE678">
                <wp:simplePos x="0" y="0"/>
                <wp:positionH relativeFrom="column">
                  <wp:posOffset>-123825</wp:posOffset>
                </wp:positionH>
                <wp:positionV relativeFrom="paragraph">
                  <wp:posOffset>1000759</wp:posOffset>
                </wp:positionV>
                <wp:extent cx="3314700" cy="79724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972425"/>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42818" w:rsidRDefault="00742818" w:rsidP="00A73CFC">
                            <w:pPr>
                              <w:pStyle w:val="IntenseQuote"/>
                              <w:jc w:val="center"/>
                              <w:rPr>
                                <w:color w:val="548DD4" w:themeColor="text2" w:themeTint="99"/>
                              </w:rPr>
                            </w:pPr>
                            <w:r>
                              <w:rPr>
                                <w:color w:val="548DD4" w:themeColor="text2" w:themeTint="99"/>
                              </w:rPr>
                              <w:t>Hitting the Mark – Critical Incidents</w:t>
                            </w:r>
                          </w:p>
                          <w:p w:rsidR="00742818" w:rsidRDefault="00DE5D7C" w:rsidP="00A73CFC">
                            <w:pPr>
                              <w:rPr>
                                <w:rFonts w:ascii="Candara" w:hAnsi="Candara"/>
                              </w:rPr>
                            </w:pPr>
                            <w:r>
                              <w:rPr>
                                <w:rFonts w:ascii="Candara" w:hAnsi="Candara"/>
                              </w:rPr>
                              <w:t>T</w:t>
                            </w:r>
                            <w:r w:rsidR="00503FEC">
                              <w:rPr>
                                <w:rFonts w:ascii="Candara" w:hAnsi="Candara"/>
                              </w:rPr>
                              <w:t>he Cent</w:t>
                            </w:r>
                            <w:r w:rsidR="00742818">
                              <w:rPr>
                                <w:rFonts w:ascii="Candara" w:hAnsi="Candara"/>
                              </w:rPr>
                              <w:t xml:space="preserve">ers for Medicare and Medicaid Services (CMS) </w:t>
                            </w:r>
                            <w:r>
                              <w:rPr>
                                <w:rFonts w:ascii="Candara" w:hAnsi="Candara"/>
                              </w:rPr>
                              <w:t>requires DSS to</w:t>
                            </w:r>
                            <w:r w:rsidR="00742818">
                              <w:rPr>
                                <w:rFonts w:ascii="Candara" w:hAnsi="Candara"/>
                              </w:rPr>
                              <w:t xml:space="preserve"> meet certain performance measures.  Critical incidents are required to be reported to DSS within </w:t>
                            </w:r>
                            <w:r w:rsidR="00742818" w:rsidRPr="008B6A5B">
                              <w:rPr>
                                <w:rFonts w:ascii="Candara" w:hAnsi="Candara"/>
                                <w:b/>
                                <w:color w:val="FF0000"/>
                              </w:rPr>
                              <w:t>two business days</w:t>
                            </w:r>
                            <w:r w:rsidR="00742818">
                              <w:rPr>
                                <w:rFonts w:ascii="Candara" w:hAnsi="Candara"/>
                              </w:rPr>
                              <w:t xml:space="preserve">.   The overall average statewide among all Access Agencies reporting critical incidents within two business days must be 86% or higher.  </w:t>
                            </w:r>
                            <w:r w:rsidR="00F7510F">
                              <w:rPr>
                                <w:rFonts w:ascii="Candara" w:hAnsi="Candara"/>
                              </w:rPr>
                              <w:t>Statewide, that threshold has rarely been hit.</w:t>
                            </w:r>
                            <w:r w:rsidR="00742818">
                              <w:rPr>
                                <w:rFonts w:ascii="Candara" w:hAnsi="Candara"/>
                              </w:rPr>
                              <w:t xml:space="preserve">  It is imperative that critical</w:t>
                            </w:r>
                            <w:r w:rsidR="00330E78">
                              <w:rPr>
                                <w:rFonts w:ascii="Candara" w:hAnsi="Candara"/>
                              </w:rPr>
                              <w:t xml:space="preserve"> incidents be reported within two </w:t>
                            </w:r>
                            <w:r w:rsidR="00742818">
                              <w:rPr>
                                <w:rFonts w:ascii="Candara" w:hAnsi="Candara"/>
                              </w:rPr>
                              <w:t xml:space="preserve">business days.  </w:t>
                            </w:r>
                            <w:r w:rsidR="00330E78">
                              <w:rPr>
                                <w:rFonts w:ascii="Candara" w:hAnsi="Candara"/>
                              </w:rPr>
                              <w:t>E</w:t>
                            </w:r>
                            <w:r w:rsidR="006165FB">
                              <w:rPr>
                                <w:rFonts w:ascii="Candara" w:hAnsi="Candara"/>
                              </w:rPr>
                              <w:t xml:space="preserve">nter the incident as soon as possible.  In the narrative, </w:t>
                            </w:r>
                            <w:r w:rsidR="000B2BF4">
                              <w:rPr>
                                <w:rFonts w:ascii="Candara" w:hAnsi="Candara"/>
                              </w:rPr>
                              <w:t>state that further investigation is happening and will be reported later</w:t>
                            </w:r>
                            <w:r w:rsidR="00680C8D">
                              <w:rPr>
                                <w:rFonts w:ascii="Candara" w:hAnsi="Candara"/>
                              </w:rPr>
                              <w:t>.  DSS can keep t</w:t>
                            </w:r>
                            <w:r>
                              <w:rPr>
                                <w:rFonts w:ascii="Candara" w:hAnsi="Candara"/>
                              </w:rPr>
                              <w:t>he incident open to allow additional information to be entered.</w:t>
                            </w:r>
                          </w:p>
                          <w:p w:rsidR="00742818" w:rsidRPr="008B6A5B" w:rsidRDefault="00742818" w:rsidP="002D6E04">
                            <w:pPr>
                              <w:pStyle w:val="IntenseQuote"/>
                              <w:jc w:val="center"/>
                              <w:rPr>
                                <w:rFonts w:ascii="Candara" w:hAnsi="Candara"/>
                                <w:color w:val="auto"/>
                              </w:rPr>
                            </w:pPr>
                            <w:r>
                              <w:rPr>
                                <w:color w:val="548DD4" w:themeColor="text2" w:themeTint="99"/>
                              </w:rPr>
                              <w:t>Mrs. Hobbs’ Vacation Abroad</w:t>
                            </w:r>
                            <w:r w:rsidR="003662F8" w:rsidRPr="003662F8">
                              <w:rPr>
                                <w:rFonts w:ascii="Helvetica" w:hAnsi="Helvetica" w:cs="Helvetica"/>
                                <w:noProof/>
                                <w:color w:val="000000"/>
                                <w:sz w:val="20"/>
                                <w:szCs w:val="20"/>
                              </w:rPr>
                              <w:t xml:space="preserve"> </w:t>
                            </w:r>
                            <w:r w:rsidR="003662F8">
                              <w:rPr>
                                <w:rFonts w:ascii="Helvetica" w:hAnsi="Helvetica" w:cs="Helvetica"/>
                                <w:noProof/>
                                <w:color w:val="000000"/>
                                <w:sz w:val="20"/>
                                <w:szCs w:val="20"/>
                              </w:rPr>
                              <w:drawing>
                                <wp:inline distT="0" distB="0" distL="0" distR="0" wp14:anchorId="534370B6" wp14:editId="5D47D9D8">
                                  <wp:extent cx="1352550" cy="901007"/>
                                  <wp:effectExtent l="0" t="0" r="0" b="0"/>
                                  <wp:docPr id="1" name="img" descr="http://clipground.com/images/europe-travel-clipar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clipground.com/images/europe-travel-clipart-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092" cy="902700"/>
                                          </a:xfrm>
                                          <a:prstGeom prst="rect">
                                            <a:avLst/>
                                          </a:prstGeom>
                                          <a:noFill/>
                                          <a:ln>
                                            <a:noFill/>
                                          </a:ln>
                                        </pic:spPr>
                                      </pic:pic>
                                    </a:graphicData>
                                  </a:graphic>
                                </wp:inline>
                              </w:drawing>
                            </w:r>
                          </w:p>
                          <w:p w:rsidR="00742818" w:rsidRPr="00076E3B" w:rsidRDefault="00742818" w:rsidP="00076E3B">
                            <w:pPr>
                              <w:pStyle w:val="NoSpacing"/>
                              <w:jc w:val="center"/>
                              <w:rPr>
                                <w:rFonts w:ascii="Candara" w:hAnsi="Candara" w:cs="Times New Roman"/>
                                <w:b/>
                              </w:rPr>
                            </w:pPr>
                            <w:r w:rsidRPr="00076E3B">
                              <w:rPr>
                                <w:rFonts w:ascii="Candara" w:hAnsi="Candara" w:cs="Times New Roman"/>
                                <w:b/>
                              </w:rPr>
                              <w:t>Adult Family Living Vacation Policy</w:t>
                            </w:r>
                          </w:p>
                          <w:p w:rsidR="00742818" w:rsidRPr="00D03EEF" w:rsidRDefault="00742818" w:rsidP="004F145D">
                            <w:pPr>
                              <w:pStyle w:val="NoSpacing"/>
                              <w:rPr>
                                <w:rFonts w:ascii="Candara" w:hAnsi="Candara" w:cs="Times New Roman"/>
                              </w:rPr>
                            </w:pPr>
                            <w:r w:rsidRPr="00D03EEF">
                              <w:rPr>
                                <w:rFonts w:ascii="Candara" w:hAnsi="Candara" w:cs="Times New Roman"/>
                              </w:rPr>
                              <w:t xml:space="preserve">Providers must be with the client providing services while they are on vacation.  </w:t>
                            </w:r>
                          </w:p>
                          <w:p w:rsidR="00742818" w:rsidRPr="00D03EEF" w:rsidRDefault="00742818" w:rsidP="004F145D">
                            <w:pPr>
                              <w:pStyle w:val="NoSpacing"/>
                              <w:rPr>
                                <w:rFonts w:ascii="Candara" w:hAnsi="Candara" w:cs="Times New Roman"/>
                              </w:rPr>
                            </w:pPr>
                            <w:r w:rsidRPr="00D03EEF">
                              <w:rPr>
                                <w:rFonts w:ascii="Candara" w:hAnsi="Candara" w:cs="Times New Roman"/>
                                <w:u w:val="single"/>
                              </w:rPr>
                              <w:t>Vacation payments</w:t>
                            </w:r>
                          </w:p>
                          <w:p w:rsidR="00742818" w:rsidRPr="00D03EEF" w:rsidRDefault="00742818" w:rsidP="004F145D">
                            <w:pPr>
                              <w:pStyle w:val="NoSpacing"/>
                              <w:numPr>
                                <w:ilvl w:val="0"/>
                                <w:numId w:val="2"/>
                              </w:numPr>
                              <w:rPr>
                                <w:rFonts w:ascii="Candara" w:hAnsi="Candara" w:cs="Times New Roman"/>
                              </w:rPr>
                            </w:pPr>
                            <w:r w:rsidRPr="00D03EEF">
                              <w:rPr>
                                <w:rFonts w:ascii="Candara" w:hAnsi="Candara" w:cs="Times New Roman"/>
                              </w:rPr>
                              <w:t>Providers will not be paid for vacations lasting more than two weeks.</w:t>
                            </w:r>
                          </w:p>
                          <w:p w:rsidR="00742818" w:rsidRPr="00D03EEF" w:rsidRDefault="00742818" w:rsidP="004F145D">
                            <w:pPr>
                              <w:pStyle w:val="NoSpacing"/>
                              <w:numPr>
                                <w:ilvl w:val="0"/>
                                <w:numId w:val="2"/>
                              </w:numPr>
                              <w:rPr>
                                <w:rFonts w:ascii="Candara" w:hAnsi="Candara" w:cs="Times New Roman"/>
                              </w:rPr>
                            </w:pPr>
                            <w:r w:rsidRPr="00D03EEF">
                              <w:rPr>
                                <w:rFonts w:ascii="Candara" w:hAnsi="Candara" w:cs="Times New Roman"/>
                              </w:rPr>
                              <w:t>Prior authorizations should be end dated after two weeks and may resume when the client returns.</w:t>
                            </w:r>
                          </w:p>
                          <w:p w:rsidR="00742818" w:rsidRPr="00D03EEF" w:rsidRDefault="00742818" w:rsidP="004F145D">
                            <w:pPr>
                              <w:pStyle w:val="NoSpacing"/>
                              <w:rPr>
                                <w:rFonts w:ascii="Candara" w:hAnsi="Candara" w:cs="Times New Roman"/>
                              </w:rPr>
                            </w:pPr>
                          </w:p>
                          <w:p w:rsidR="00742818" w:rsidRPr="00D03EEF" w:rsidRDefault="00742818" w:rsidP="004F145D">
                            <w:pPr>
                              <w:pStyle w:val="NoSpacing"/>
                              <w:rPr>
                                <w:rFonts w:ascii="Candara" w:hAnsi="Candara" w:cs="Times New Roman"/>
                                <w:u w:val="single"/>
                              </w:rPr>
                            </w:pPr>
                            <w:r w:rsidRPr="00D03EEF">
                              <w:rPr>
                                <w:rFonts w:ascii="Candara" w:hAnsi="Candara" w:cs="Times New Roman"/>
                                <w:u w:val="single"/>
                              </w:rPr>
                              <w:t xml:space="preserve">Vacations outside of the United States and its </w:t>
                            </w:r>
                            <w:r w:rsidR="000164A0" w:rsidRPr="00D03EEF">
                              <w:rPr>
                                <w:rFonts w:ascii="Candara" w:hAnsi="Candara" w:cs="Times New Roman"/>
                                <w:u w:val="single"/>
                              </w:rPr>
                              <w:t>Territories</w:t>
                            </w:r>
                          </w:p>
                          <w:p w:rsidR="00742818" w:rsidRDefault="00742818" w:rsidP="004F145D">
                            <w:pPr>
                              <w:pStyle w:val="NoSpacing"/>
                              <w:numPr>
                                <w:ilvl w:val="0"/>
                                <w:numId w:val="3"/>
                              </w:numPr>
                              <w:rPr>
                                <w:rFonts w:ascii="Candara" w:hAnsi="Candara" w:cs="Times New Roman"/>
                              </w:rPr>
                            </w:pPr>
                            <w:r w:rsidRPr="00D03EEF">
                              <w:rPr>
                                <w:rFonts w:ascii="Candara" w:hAnsi="Candara" w:cs="Times New Roman"/>
                              </w:rPr>
                              <w:t>Providers will not be paid for any vacation occurring outside of the United States.  Prior authorizations should be end dated at the beginning of the vacation and may resume upon the client’s return.</w:t>
                            </w:r>
                          </w:p>
                          <w:p w:rsidR="00742818" w:rsidRPr="004F145D" w:rsidRDefault="00742818" w:rsidP="004F145D">
                            <w:pPr>
                              <w:pStyle w:val="NoSpacing"/>
                              <w:rPr>
                                <w:rFonts w:ascii="Candara" w:hAnsi="Candara" w:cs="Times New Roman"/>
                                <w:sz w:val="24"/>
                                <w:szCs w:val="24"/>
                              </w:rPr>
                            </w:pPr>
                          </w:p>
                          <w:p w:rsidR="00742818" w:rsidRPr="005459BB" w:rsidRDefault="00742818" w:rsidP="00A73CFC">
                            <w:pPr>
                              <w:rPr>
                                <w:rFonts w:ascii="Candara" w:hAnsi="Candara"/>
                              </w:rPr>
                            </w:pPr>
                          </w:p>
                          <w:p w:rsidR="00742818" w:rsidRDefault="00742818" w:rsidP="00A73CFC">
                            <w:pPr>
                              <w:pStyle w:val="Subtitle-Professional"/>
                              <w:rPr>
                                <w:rFonts w:ascii="Candara" w:hAnsi="Candara"/>
                                <w:i w:val="0"/>
                              </w:rPr>
                            </w:pPr>
                          </w:p>
                          <w:p w:rsidR="00742818" w:rsidRPr="00ED3F20" w:rsidRDefault="00742818" w:rsidP="00A73CFC">
                            <w:pPr>
                              <w:pStyle w:val="Subtitle-Professional"/>
                              <w:rPr>
                                <w:rFonts w:ascii="Candara" w:hAnsi="Candara"/>
                                <w:i w:val="0"/>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BodyText-Professiona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75pt;margin-top:78.8pt;width:261pt;height:6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" o:allowincell="f" filled="f" strokecolor="window">
                <v:textbox>
                  <w:txbxContent>
                    <w:p w:rsidR="00742818" w:rsidRDefault="00742818" w:rsidP="00A73CFC">
                      <w:pPr>
                        <w:pStyle w:val="IntenseQuote"/>
                        <w:jc w:val="center"/>
                        <w:rPr>
                          <w:color w:val="548DD4" w:themeColor="text2" w:themeTint="99"/>
                        </w:rPr>
                      </w:pPr>
                      <w:r>
                        <w:rPr>
                          <w:color w:val="548DD4" w:themeColor="text2" w:themeTint="99"/>
                        </w:rPr>
                        <w:t>Hitting the Mark – Critical Incidents</w:t>
                      </w:r>
                    </w:p>
                    <w:p w:rsidR="00742818" w:rsidRDefault="00DE5D7C" w:rsidP="00A73CFC">
                      <w:pPr>
                        <w:rPr>
                          <w:rFonts w:ascii="Candara" w:hAnsi="Candara"/>
                        </w:rPr>
                      </w:pPr>
                      <w:r>
                        <w:rPr>
                          <w:rFonts w:ascii="Candara" w:hAnsi="Candara"/>
                        </w:rPr>
                        <w:t>T</w:t>
                      </w:r>
                      <w:r w:rsidR="00503FEC">
                        <w:rPr>
                          <w:rFonts w:ascii="Candara" w:hAnsi="Candara"/>
                        </w:rPr>
                        <w:t>he Cent</w:t>
                      </w:r>
                      <w:r w:rsidR="00742818">
                        <w:rPr>
                          <w:rFonts w:ascii="Candara" w:hAnsi="Candara"/>
                        </w:rPr>
                        <w:t xml:space="preserve">ers for Medicare and Medicaid Services (CMS) </w:t>
                      </w:r>
                      <w:r>
                        <w:rPr>
                          <w:rFonts w:ascii="Candara" w:hAnsi="Candara"/>
                        </w:rPr>
                        <w:t>requires DSS to</w:t>
                      </w:r>
                      <w:r w:rsidR="00742818">
                        <w:rPr>
                          <w:rFonts w:ascii="Candara" w:hAnsi="Candara"/>
                        </w:rPr>
                        <w:t xml:space="preserve"> meet certain performance measures.  Critical incidents are required to be reported to DSS within </w:t>
                      </w:r>
                      <w:r w:rsidR="00742818" w:rsidRPr="008B6A5B">
                        <w:rPr>
                          <w:rFonts w:ascii="Candara" w:hAnsi="Candara"/>
                          <w:b/>
                          <w:color w:val="FF0000"/>
                        </w:rPr>
                        <w:t>two business days</w:t>
                      </w:r>
                      <w:r w:rsidR="00742818">
                        <w:rPr>
                          <w:rFonts w:ascii="Candara" w:hAnsi="Candara"/>
                        </w:rPr>
                        <w:t xml:space="preserve">.   The overall average statewide among all Access Agencies reporting critical incidents within two business days must be 86% or higher.  </w:t>
                      </w:r>
                      <w:r w:rsidR="00F7510F">
                        <w:rPr>
                          <w:rFonts w:ascii="Candara" w:hAnsi="Candara"/>
                        </w:rPr>
                        <w:t xml:space="preserve">Statewide, that threshold has rarely been </w:t>
                      </w:r>
                      <w:r w:rsidR="00F7510F">
                        <w:rPr>
                          <w:rFonts w:ascii="Candara" w:hAnsi="Candara"/>
                        </w:rPr>
                        <w:t>hit.</w:t>
                      </w:r>
                      <w:bookmarkStart w:id="1" w:name="_GoBack"/>
                      <w:bookmarkEnd w:id="1"/>
                      <w:r w:rsidR="00742818">
                        <w:rPr>
                          <w:rFonts w:ascii="Candara" w:hAnsi="Candara"/>
                        </w:rPr>
                        <w:t xml:space="preserve">  It is imperative that critical</w:t>
                      </w:r>
                      <w:r w:rsidR="00330E78">
                        <w:rPr>
                          <w:rFonts w:ascii="Candara" w:hAnsi="Candara"/>
                        </w:rPr>
                        <w:t xml:space="preserve"> incidents be reported within two </w:t>
                      </w:r>
                      <w:r w:rsidR="00742818">
                        <w:rPr>
                          <w:rFonts w:ascii="Candara" w:hAnsi="Candara"/>
                        </w:rPr>
                        <w:t xml:space="preserve">business days.  </w:t>
                      </w:r>
                      <w:r w:rsidR="00330E78">
                        <w:rPr>
                          <w:rFonts w:ascii="Candara" w:hAnsi="Candara"/>
                        </w:rPr>
                        <w:t>E</w:t>
                      </w:r>
                      <w:r w:rsidR="006165FB">
                        <w:rPr>
                          <w:rFonts w:ascii="Candara" w:hAnsi="Candara"/>
                        </w:rPr>
                        <w:t xml:space="preserve">nter the incident as soon as possible.  In the narrative, </w:t>
                      </w:r>
                      <w:r w:rsidR="000B2BF4">
                        <w:rPr>
                          <w:rFonts w:ascii="Candara" w:hAnsi="Candara"/>
                        </w:rPr>
                        <w:t>state that further investigation is happening and will be reported later</w:t>
                      </w:r>
                      <w:r w:rsidR="00680C8D">
                        <w:rPr>
                          <w:rFonts w:ascii="Candara" w:hAnsi="Candara"/>
                        </w:rPr>
                        <w:t>.  DSS can keep t</w:t>
                      </w:r>
                      <w:r>
                        <w:rPr>
                          <w:rFonts w:ascii="Candara" w:hAnsi="Candara"/>
                        </w:rPr>
                        <w:t>he incident open to allow additional information to be entered.</w:t>
                      </w:r>
                    </w:p>
                    <w:p w:rsidR="00742818" w:rsidRPr="008B6A5B" w:rsidRDefault="00742818" w:rsidP="002D6E04">
                      <w:pPr>
                        <w:pStyle w:val="IntenseQuote"/>
                        <w:jc w:val="center"/>
                        <w:rPr>
                          <w:rFonts w:ascii="Candara" w:hAnsi="Candara"/>
                          <w:color w:val="auto"/>
                        </w:rPr>
                      </w:pPr>
                      <w:r>
                        <w:rPr>
                          <w:color w:val="548DD4" w:themeColor="text2" w:themeTint="99"/>
                        </w:rPr>
                        <w:t>Mrs. Hobbs’ Vacation Abroad</w:t>
                      </w:r>
                      <w:r w:rsidR="003662F8" w:rsidRPr="003662F8">
                        <w:rPr>
                          <w:rFonts w:ascii="Helvetica" w:hAnsi="Helvetica" w:cs="Helvetica"/>
                          <w:noProof/>
                          <w:color w:val="000000"/>
                          <w:sz w:val="20"/>
                          <w:szCs w:val="20"/>
                        </w:rPr>
                        <w:t xml:space="preserve"> </w:t>
                      </w:r>
                      <w:r w:rsidR="003662F8">
                        <w:rPr>
                          <w:rFonts w:ascii="Helvetica" w:hAnsi="Helvetica" w:cs="Helvetica"/>
                          <w:noProof/>
                          <w:color w:val="000000"/>
                          <w:sz w:val="20"/>
                          <w:szCs w:val="20"/>
                        </w:rPr>
                        <w:drawing>
                          <wp:inline distT="0" distB="0" distL="0" distR="0" wp14:anchorId="534370B6" wp14:editId="5D47D9D8">
                            <wp:extent cx="1352550" cy="901007"/>
                            <wp:effectExtent l="0" t="0" r="0" b="0"/>
                            <wp:docPr id="1" name="img" descr="http://clipground.com/images/europe-travel-clipar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clipground.com/images/europe-travel-clipart-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5092" cy="902700"/>
                                    </a:xfrm>
                                    <a:prstGeom prst="rect">
                                      <a:avLst/>
                                    </a:prstGeom>
                                    <a:noFill/>
                                    <a:ln>
                                      <a:noFill/>
                                    </a:ln>
                                  </pic:spPr>
                                </pic:pic>
                              </a:graphicData>
                            </a:graphic>
                          </wp:inline>
                        </w:drawing>
                      </w:r>
                    </w:p>
                    <w:p w:rsidR="00742818" w:rsidRPr="00076E3B" w:rsidRDefault="00742818" w:rsidP="00076E3B">
                      <w:pPr>
                        <w:pStyle w:val="NoSpacing"/>
                        <w:jc w:val="center"/>
                        <w:rPr>
                          <w:rFonts w:ascii="Candara" w:hAnsi="Candara" w:cs="Times New Roman"/>
                          <w:b/>
                        </w:rPr>
                      </w:pPr>
                      <w:r w:rsidRPr="00076E3B">
                        <w:rPr>
                          <w:rFonts w:ascii="Candara" w:hAnsi="Candara" w:cs="Times New Roman"/>
                          <w:b/>
                        </w:rPr>
                        <w:t>Adult Family Living Vacation Policy</w:t>
                      </w:r>
                    </w:p>
                    <w:p w:rsidR="00742818" w:rsidRPr="00D03EEF" w:rsidRDefault="00742818" w:rsidP="004F145D">
                      <w:pPr>
                        <w:pStyle w:val="NoSpacing"/>
                        <w:rPr>
                          <w:rFonts w:ascii="Candara" w:hAnsi="Candara" w:cs="Times New Roman"/>
                        </w:rPr>
                      </w:pPr>
                      <w:r w:rsidRPr="00D03EEF">
                        <w:rPr>
                          <w:rFonts w:ascii="Candara" w:hAnsi="Candara" w:cs="Times New Roman"/>
                        </w:rPr>
                        <w:t xml:space="preserve">Providers must be with the client providing services while they are on vacation.  </w:t>
                      </w:r>
                    </w:p>
                    <w:p w:rsidR="00742818" w:rsidRPr="00D03EEF" w:rsidRDefault="00742818" w:rsidP="004F145D">
                      <w:pPr>
                        <w:pStyle w:val="NoSpacing"/>
                        <w:rPr>
                          <w:rFonts w:ascii="Candara" w:hAnsi="Candara" w:cs="Times New Roman"/>
                        </w:rPr>
                      </w:pPr>
                      <w:r w:rsidRPr="00D03EEF">
                        <w:rPr>
                          <w:rFonts w:ascii="Candara" w:hAnsi="Candara" w:cs="Times New Roman"/>
                          <w:u w:val="single"/>
                        </w:rPr>
                        <w:t>Vacation payments</w:t>
                      </w:r>
                    </w:p>
                    <w:p w:rsidR="00742818" w:rsidRPr="00D03EEF" w:rsidRDefault="00742818" w:rsidP="004F145D">
                      <w:pPr>
                        <w:pStyle w:val="NoSpacing"/>
                        <w:numPr>
                          <w:ilvl w:val="0"/>
                          <w:numId w:val="2"/>
                        </w:numPr>
                        <w:rPr>
                          <w:rFonts w:ascii="Candara" w:hAnsi="Candara" w:cs="Times New Roman"/>
                        </w:rPr>
                      </w:pPr>
                      <w:r w:rsidRPr="00D03EEF">
                        <w:rPr>
                          <w:rFonts w:ascii="Candara" w:hAnsi="Candara" w:cs="Times New Roman"/>
                        </w:rPr>
                        <w:t>Providers will not be paid for vacations lasting more than two weeks.</w:t>
                      </w:r>
                    </w:p>
                    <w:p w:rsidR="00742818" w:rsidRPr="00D03EEF" w:rsidRDefault="00742818" w:rsidP="004F145D">
                      <w:pPr>
                        <w:pStyle w:val="NoSpacing"/>
                        <w:numPr>
                          <w:ilvl w:val="0"/>
                          <w:numId w:val="2"/>
                        </w:numPr>
                        <w:rPr>
                          <w:rFonts w:ascii="Candara" w:hAnsi="Candara" w:cs="Times New Roman"/>
                        </w:rPr>
                      </w:pPr>
                      <w:r w:rsidRPr="00D03EEF">
                        <w:rPr>
                          <w:rFonts w:ascii="Candara" w:hAnsi="Candara" w:cs="Times New Roman"/>
                        </w:rPr>
                        <w:t>Prior authorizations should be end dated after two weeks and may resume when the client returns.</w:t>
                      </w:r>
                    </w:p>
                    <w:p w:rsidR="00742818" w:rsidRPr="00D03EEF" w:rsidRDefault="00742818" w:rsidP="004F145D">
                      <w:pPr>
                        <w:pStyle w:val="NoSpacing"/>
                        <w:rPr>
                          <w:rFonts w:ascii="Candara" w:hAnsi="Candara" w:cs="Times New Roman"/>
                        </w:rPr>
                      </w:pPr>
                    </w:p>
                    <w:p w:rsidR="00742818" w:rsidRPr="00D03EEF" w:rsidRDefault="00742818" w:rsidP="004F145D">
                      <w:pPr>
                        <w:pStyle w:val="NoSpacing"/>
                        <w:rPr>
                          <w:rFonts w:ascii="Candara" w:hAnsi="Candara" w:cs="Times New Roman"/>
                          <w:u w:val="single"/>
                        </w:rPr>
                      </w:pPr>
                      <w:r w:rsidRPr="00D03EEF">
                        <w:rPr>
                          <w:rFonts w:ascii="Candara" w:hAnsi="Candara" w:cs="Times New Roman"/>
                          <w:u w:val="single"/>
                        </w:rPr>
                        <w:t xml:space="preserve">Vacations outside of the United States and its </w:t>
                      </w:r>
                      <w:r w:rsidR="000164A0" w:rsidRPr="00D03EEF">
                        <w:rPr>
                          <w:rFonts w:ascii="Candara" w:hAnsi="Candara" w:cs="Times New Roman"/>
                          <w:u w:val="single"/>
                        </w:rPr>
                        <w:t>Territories</w:t>
                      </w:r>
                    </w:p>
                    <w:p w:rsidR="00742818" w:rsidRDefault="00742818" w:rsidP="004F145D">
                      <w:pPr>
                        <w:pStyle w:val="NoSpacing"/>
                        <w:numPr>
                          <w:ilvl w:val="0"/>
                          <w:numId w:val="3"/>
                        </w:numPr>
                        <w:rPr>
                          <w:rFonts w:ascii="Candara" w:hAnsi="Candara" w:cs="Times New Roman"/>
                        </w:rPr>
                      </w:pPr>
                      <w:r w:rsidRPr="00D03EEF">
                        <w:rPr>
                          <w:rFonts w:ascii="Candara" w:hAnsi="Candara" w:cs="Times New Roman"/>
                        </w:rPr>
                        <w:t>Providers will not be paid for any vacation occurring outside of the United States.  Prior authorizations should be end dated at the beginning of the vacation and may resume upon the client’s return.</w:t>
                      </w:r>
                    </w:p>
                    <w:p w:rsidR="00742818" w:rsidRPr="004F145D" w:rsidRDefault="00742818" w:rsidP="004F145D">
                      <w:pPr>
                        <w:pStyle w:val="NoSpacing"/>
                        <w:rPr>
                          <w:rFonts w:ascii="Candara" w:hAnsi="Candara" w:cs="Times New Roman"/>
                          <w:sz w:val="24"/>
                          <w:szCs w:val="24"/>
                        </w:rPr>
                      </w:pPr>
                    </w:p>
                    <w:p w:rsidR="00742818" w:rsidRPr="005459BB" w:rsidRDefault="00742818" w:rsidP="00A73CFC">
                      <w:pPr>
                        <w:rPr>
                          <w:rFonts w:ascii="Candara" w:hAnsi="Candara"/>
                        </w:rPr>
                      </w:pPr>
                    </w:p>
                    <w:p w:rsidR="00742818" w:rsidRDefault="00742818" w:rsidP="00A73CFC">
                      <w:pPr>
                        <w:pStyle w:val="Subtitle-Professional"/>
                        <w:rPr>
                          <w:rFonts w:ascii="Candara" w:hAnsi="Candara"/>
                          <w:i w:val="0"/>
                        </w:rPr>
                      </w:pPr>
                    </w:p>
                    <w:p w:rsidR="00742818" w:rsidRPr="00ED3F20" w:rsidRDefault="00742818" w:rsidP="00A73CFC">
                      <w:pPr>
                        <w:pStyle w:val="Subtitle-Professional"/>
                        <w:rPr>
                          <w:rFonts w:ascii="Candara" w:hAnsi="Candara"/>
                          <w:i w:val="0"/>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Heading2-Professional"/>
                        <w:rPr>
                          <w:sz w:val="22"/>
                          <w:szCs w:val="22"/>
                        </w:rPr>
                      </w:pPr>
                    </w:p>
                    <w:p w:rsidR="00742818" w:rsidRDefault="00742818" w:rsidP="00A73CFC">
                      <w:pPr>
                        <w:pStyle w:val="BodyText-Professional"/>
                      </w:pPr>
                      <w:r>
                        <w:t>.</w:t>
                      </w:r>
                    </w:p>
                  </w:txbxContent>
                </v:textbox>
              </v:shape>
            </w:pict>
          </mc:Fallback>
        </mc:AlternateContent>
      </w:r>
      <w:r w:rsidR="00716C8B" w:rsidRPr="00A73CFC">
        <w:rPr>
          <w:rFonts w:eastAsiaTheme="minorEastAsia" w:cs="Times New Roman"/>
          <w:noProof/>
          <w:sz w:val="24"/>
          <w:szCs w:val="24"/>
        </w:rPr>
        <mc:AlternateContent>
          <mc:Choice Requires="wps">
            <w:drawing>
              <wp:anchor distT="0" distB="0" distL="114300" distR="114300" simplePos="0" relativeHeight="251665408" behindDoc="0" locked="0" layoutInCell="0" allowOverlap="1" wp14:anchorId="64D84ECD" wp14:editId="59540E26">
                <wp:simplePos x="0" y="0"/>
                <wp:positionH relativeFrom="column">
                  <wp:posOffset>3343275</wp:posOffset>
                </wp:positionH>
                <wp:positionV relativeFrom="paragraph">
                  <wp:posOffset>1285875</wp:posOffset>
                </wp:positionV>
                <wp:extent cx="3314700" cy="7324725"/>
                <wp:effectExtent l="0" t="0" r="19050" b="2857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324725"/>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42818" w:rsidRDefault="003662F8" w:rsidP="00C60D0E">
                            <w:pPr>
                              <w:pStyle w:val="NoSpacing"/>
                            </w:pPr>
                            <w:r w:rsidRPr="003662F8">
                              <w:t>Neither Medicare nor Medicaid cover any services provided in another country.  This includes all waiver services and medical</w:t>
                            </w:r>
                            <w:r>
                              <w:t xml:space="preserve"> </w:t>
                            </w:r>
                            <w:r w:rsidRPr="003662F8">
                              <w:t>services such as emergency room visits, hospitalizations, doctor visits, etc.  You may wish to advise caregivers</w:t>
                            </w:r>
                            <w:r w:rsidR="000B2BF4">
                              <w:t xml:space="preserve"> and your clients of this.</w:t>
                            </w:r>
                          </w:p>
                          <w:p w:rsidR="00742818" w:rsidRDefault="00742818" w:rsidP="00A73CFC">
                            <w:pPr>
                              <w:pStyle w:val="IntenseQuote"/>
                              <w:rPr>
                                <w:color w:val="548DD4" w:themeColor="text2" w:themeTint="99"/>
                              </w:rPr>
                            </w:pPr>
                            <w:r>
                              <w:rPr>
                                <w:color w:val="548DD4" w:themeColor="text2" w:themeTint="99"/>
                              </w:rPr>
                              <w:t xml:space="preserve">Help!  Services </w:t>
                            </w:r>
                            <w:r w:rsidR="00563C80">
                              <w:rPr>
                                <w:color w:val="548DD4" w:themeColor="text2" w:themeTint="99"/>
                              </w:rPr>
                              <w:t>Are</w:t>
                            </w:r>
                            <w:r>
                              <w:rPr>
                                <w:color w:val="548DD4" w:themeColor="text2" w:themeTint="99"/>
                              </w:rPr>
                              <w:t xml:space="preserve"> Discontinued</w:t>
                            </w:r>
                          </w:p>
                          <w:p w:rsidR="00840672" w:rsidRDefault="00742818" w:rsidP="00CB58C9">
                            <w:pPr>
                              <w:spacing w:line="240" w:lineRule="auto"/>
                              <w:rPr>
                                <w:rFonts w:ascii="Candara" w:hAnsi="Candara"/>
                              </w:rPr>
                            </w:pPr>
                            <w:r w:rsidRPr="001F146C">
                              <w:rPr>
                                <w:rFonts w:ascii="Candara" w:hAnsi="Candara"/>
                              </w:rPr>
                              <w:t xml:space="preserve">Numerous clients lose eligibility due to failure to submit the </w:t>
                            </w:r>
                            <w:r w:rsidR="00B3000F">
                              <w:rPr>
                                <w:rFonts w:ascii="Candara" w:hAnsi="Candara"/>
                              </w:rPr>
                              <w:t xml:space="preserve">Medicaid </w:t>
                            </w:r>
                            <w:r w:rsidRPr="001F146C">
                              <w:rPr>
                                <w:rFonts w:ascii="Candara" w:hAnsi="Candara"/>
                              </w:rPr>
                              <w:t xml:space="preserve">redetermination or financial information. </w:t>
                            </w:r>
                            <w:r w:rsidR="00F27316">
                              <w:rPr>
                                <w:rFonts w:ascii="Candara" w:hAnsi="Candara"/>
                              </w:rPr>
                              <w:t xml:space="preserve">Clients are issued a </w:t>
                            </w:r>
                            <w:r>
                              <w:rPr>
                                <w:rFonts w:ascii="Candara" w:hAnsi="Candara"/>
                              </w:rPr>
                              <w:t>Notice</w:t>
                            </w:r>
                            <w:r w:rsidR="009C1579">
                              <w:rPr>
                                <w:rFonts w:ascii="Candara" w:hAnsi="Candara"/>
                              </w:rPr>
                              <w:t xml:space="preserve"> of</w:t>
                            </w:r>
                            <w:r>
                              <w:rPr>
                                <w:rFonts w:ascii="Candara" w:hAnsi="Candara"/>
                              </w:rPr>
                              <w:t xml:space="preserve"> Action </w:t>
                            </w:r>
                            <w:r w:rsidR="00B3000F">
                              <w:rPr>
                                <w:rFonts w:ascii="Candara" w:hAnsi="Candara"/>
                              </w:rPr>
                              <w:t xml:space="preserve">which </w:t>
                            </w:r>
                            <w:r>
                              <w:rPr>
                                <w:rFonts w:ascii="Candara" w:hAnsi="Candara"/>
                              </w:rPr>
                              <w:t>states</w:t>
                            </w:r>
                            <w:r w:rsidR="00B3000F">
                              <w:rPr>
                                <w:rFonts w:ascii="Candara" w:hAnsi="Candara"/>
                              </w:rPr>
                              <w:t xml:space="preserve"> the deadline for</w:t>
                            </w:r>
                            <w:r>
                              <w:rPr>
                                <w:rFonts w:ascii="Candara" w:hAnsi="Candara"/>
                              </w:rPr>
                              <w:t xml:space="preserve"> submit</w:t>
                            </w:r>
                            <w:r w:rsidR="00840672">
                              <w:rPr>
                                <w:rFonts w:ascii="Candara" w:hAnsi="Candara"/>
                              </w:rPr>
                              <w:t>ting</w:t>
                            </w:r>
                            <w:r>
                              <w:rPr>
                                <w:rFonts w:ascii="Candara" w:hAnsi="Candara"/>
                              </w:rPr>
                              <w:t xml:space="preserve"> the documents</w:t>
                            </w:r>
                            <w:r w:rsidR="00F27316">
                              <w:rPr>
                                <w:rFonts w:ascii="Candara" w:hAnsi="Candara"/>
                              </w:rPr>
                              <w:t xml:space="preserve">. DSS Financial enters a memo in Ascend with </w:t>
                            </w:r>
                            <w:r w:rsidR="009C1579">
                              <w:rPr>
                                <w:rFonts w:ascii="Candara" w:hAnsi="Candara"/>
                              </w:rPr>
                              <w:t>the date that services must stop if th</w:t>
                            </w:r>
                            <w:r w:rsidR="00F27316">
                              <w:rPr>
                                <w:rFonts w:ascii="Candara" w:hAnsi="Candara"/>
                              </w:rPr>
                              <w:t>e documents are not submitted.</w:t>
                            </w:r>
                            <w:r>
                              <w:rPr>
                                <w:rFonts w:ascii="Candara" w:hAnsi="Candara"/>
                              </w:rPr>
                              <w:t xml:space="preserve"> </w:t>
                            </w:r>
                          </w:p>
                          <w:p w:rsidR="00742818" w:rsidRDefault="00142CF9" w:rsidP="00CB58C9">
                            <w:pPr>
                              <w:spacing w:line="240" w:lineRule="auto"/>
                              <w:rPr>
                                <w:rFonts w:ascii="Candara" w:hAnsi="Candara"/>
                              </w:rPr>
                            </w:pPr>
                            <w:r>
                              <w:rPr>
                                <w:rFonts w:ascii="Candara" w:hAnsi="Candara"/>
                              </w:rPr>
                              <w:t>W</w:t>
                            </w:r>
                            <w:r w:rsidR="00F61128">
                              <w:rPr>
                                <w:rFonts w:ascii="Candara" w:hAnsi="Candara"/>
                              </w:rPr>
                              <w:t>hen the documents have been submitted</w:t>
                            </w:r>
                            <w:r>
                              <w:rPr>
                                <w:rFonts w:ascii="Candara" w:hAnsi="Candara"/>
                              </w:rPr>
                              <w:t xml:space="preserve"> and</w:t>
                            </w:r>
                            <w:r w:rsidR="00F61128">
                              <w:rPr>
                                <w:rFonts w:ascii="Candara" w:hAnsi="Candara"/>
                              </w:rPr>
                              <w:t xml:space="preserve"> eligibility is restored</w:t>
                            </w:r>
                            <w:r>
                              <w:rPr>
                                <w:rFonts w:ascii="Candara" w:hAnsi="Candara"/>
                              </w:rPr>
                              <w:t xml:space="preserve"> there may not be</w:t>
                            </w:r>
                            <w:r w:rsidR="00434F37">
                              <w:rPr>
                                <w:rFonts w:ascii="Candara" w:hAnsi="Candara"/>
                              </w:rPr>
                              <w:t xml:space="preserve"> </w:t>
                            </w:r>
                            <w:r>
                              <w:rPr>
                                <w:rFonts w:ascii="Candara" w:hAnsi="Candara"/>
                              </w:rPr>
                              <w:t xml:space="preserve">a memo </w:t>
                            </w:r>
                            <w:r w:rsidR="00434F37">
                              <w:rPr>
                                <w:rFonts w:ascii="Candara" w:hAnsi="Candara"/>
                              </w:rPr>
                              <w:t xml:space="preserve">in Ascend rescinding the service discontinuation.  </w:t>
                            </w:r>
                            <w:r w:rsidR="00D85F4B">
                              <w:rPr>
                                <w:rFonts w:ascii="Candara" w:hAnsi="Candara"/>
                              </w:rPr>
                              <w:t>When withdrawal of services present</w:t>
                            </w:r>
                            <w:r w:rsidR="009D199F">
                              <w:rPr>
                                <w:rFonts w:ascii="Candara" w:hAnsi="Candara"/>
                              </w:rPr>
                              <w:t>s</w:t>
                            </w:r>
                            <w:r w:rsidR="00D85F4B">
                              <w:rPr>
                                <w:rFonts w:ascii="Candara" w:hAnsi="Candara"/>
                              </w:rPr>
                              <w:t xml:space="preserve"> a significant risk to the client’s health and sa</w:t>
                            </w:r>
                            <w:r w:rsidR="000701B0">
                              <w:rPr>
                                <w:rFonts w:ascii="Candara" w:hAnsi="Candara"/>
                              </w:rPr>
                              <w:t xml:space="preserve">fety, do not wait for </w:t>
                            </w:r>
                            <w:r w:rsidR="00840672">
                              <w:rPr>
                                <w:rFonts w:ascii="Candara" w:hAnsi="Candara"/>
                              </w:rPr>
                              <w:t>F</w:t>
                            </w:r>
                            <w:r w:rsidR="000701B0">
                              <w:rPr>
                                <w:rFonts w:ascii="Candara" w:hAnsi="Candara"/>
                              </w:rPr>
                              <w:t xml:space="preserve">inancial to respond to the memo.  Contact the </w:t>
                            </w:r>
                            <w:r w:rsidR="00840672">
                              <w:rPr>
                                <w:rFonts w:ascii="Candara" w:hAnsi="Candara"/>
                              </w:rPr>
                              <w:t>F</w:t>
                            </w:r>
                            <w:r w:rsidR="000701B0">
                              <w:rPr>
                                <w:rFonts w:ascii="Candara" w:hAnsi="Candara"/>
                              </w:rPr>
                              <w:t xml:space="preserve">inancial </w:t>
                            </w:r>
                            <w:r w:rsidR="00E751FB">
                              <w:rPr>
                                <w:rFonts w:ascii="Candara" w:hAnsi="Candara"/>
                              </w:rPr>
                              <w:t>U</w:t>
                            </w:r>
                            <w:r w:rsidR="000701B0">
                              <w:rPr>
                                <w:rFonts w:ascii="Candara" w:hAnsi="Candara"/>
                              </w:rPr>
                              <w:t xml:space="preserve">nit directly.  </w:t>
                            </w:r>
                          </w:p>
                          <w:p w:rsidR="004040F5" w:rsidRPr="004040F5" w:rsidRDefault="004040F5" w:rsidP="004040F5">
                            <w:pPr>
                              <w:pBdr>
                                <w:bottom w:val="single" w:sz="4" w:space="4" w:color="4F81BD" w:themeColor="accent1"/>
                              </w:pBdr>
                              <w:spacing w:before="200" w:after="280"/>
                              <w:ind w:left="936" w:right="936"/>
                              <w:rPr>
                                <w:b/>
                                <w:bCs/>
                                <w:i/>
                                <w:iCs/>
                                <w:color w:val="548DD4" w:themeColor="text2" w:themeTint="99"/>
                              </w:rPr>
                            </w:pPr>
                            <w:r>
                              <w:rPr>
                                <w:b/>
                                <w:bCs/>
                                <w:i/>
                                <w:iCs/>
                                <w:color w:val="548DD4" w:themeColor="text2" w:themeTint="99"/>
                              </w:rPr>
                              <w:t xml:space="preserve">Ascend </w:t>
                            </w:r>
                            <w:r w:rsidR="003142DB">
                              <w:rPr>
                                <w:b/>
                                <w:bCs/>
                                <w:i/>
                                <w:iCs/>
                                <w:color w:val="548DD4" w:themeColor="text2" w:themeTint="99"/>
                              </w:rPr>
                              <w:t>Attachment</w:t>
                            </w:r>
                            <w:r>
                              <w:rPr>
                                <w:b/>
                                <w:bCs/>
                                <w:i/>
                                <w:iCs/>
                                <w:color w:val="548DD4" w:themeColor="text2" w:themeTint="99"/>
                              </w:rPr>
                              <w:t xml:space="preserve"> Accessibility</w:t>
                            </w:r>
                          </w:p>
                          <w:p w:rsidR="00742818" w:rsidRDefault="00C8567E" w:rsidP="00CB58C9">
                            <w:pPr>
                              <w:spacing w:line="240" w:lineRule="auto"/>
                              <w:rPr>
                                <w:rFonts w:ascii="Candara" w:hAnsi="Candara" w:cs="Arial"/>
                              </w:rPr>
                            </w:pPr>
                            <w:r>
                              <w:rPr>
                                <w:rFonts w:ascii="Candara" w:hAnsi="Candara" w:cs="Arial"/>
                              </w:rPr>
                              <w:t>The best recommendation for u</w:t>
                            </w:r>
                            <w:r w:rsidR="004040F5" w:rsidRPr="004040F5">
                              <w:rPr>
                                <w:rFonts w:ascii="Candara" w:hAnsi="Candara" w:cs="Arial"/>
                              </w:rPr>
                              <w:t>sers unable to open attachments is to ensure that the ascendami.com domain is added to the users’ trusted sites in their browsers</w:t>
                            </w:r>
                            <w:r w:rsidR="003142DB">
                              <w:rPr>
                                <w:rFonts w:ascii="Candara" w:hAnsi="Candara" w:cs="Arial"/>
                              </w:rPr>
                              <w:t xml:space="preserve"> and </w:t>
                            </w:r>
                            <w:r w:rsidR="004040F5" w:rsidRPr="004040F5">
                              <w:rPr>
                                <w:rFonts w:ascii="Candara" w:hAnsi="Candara" w:cs="Arial"/>
                              </w:rPr>
                              <w:t xml:space="preserve">using a supported browser.  </w:t>
                            </w:r>
                          </w:p>
                          <w:p w:rsidR="00775162" w:rsidRPr="004040F5" w:rsidRDefault="00775162" w:rsidP="00775162">
                            <w:pPr>
                              <w:pBdr>
                                <w:bottom w:val="single" w:sz="4" w:space="4" w:color="4F81BD" w:themeColor="accent1"/>
                              </w:pBdr>
                              <w:spacing w:before="200" w:after="280"/>
                              <w:ind w:left="936" w:right="936"/>
                              <w:rPr>
                                <w:b/>
                                <w:bCs/>
                                <w:i/>
                                <w:iCs/>
                                <w:color w:val="548DD4" w:themeColor="text2" w:themeTint="99"/>
                              </w:rPr>
                            </w:pPr>
                            <w:r>
                              <w:rPr>
                                <w:b/>
                                <w:bCs/>
                                <w:i/>
                                <w:iCs/>
                                <w:color w:val="548DD4" w:themeColor="text2" w:themeTint="99"/>
                              </w:rPr>
                              <w:t>Reminders</w:t>
                            </w:r>
                            <w:r w:rsidR="00E720ED">
                              <w:rPr>
                                <w:b/>
                                <w:bCs/>
                                <w:i/>
                                <w:iCs/>
                                <w:color w:val="548DD4" w:themeColor="text2" w:themeTint="99"/>
                              </w:rPr>
                              <w:t>, if you please:</w:t>
                            </w:r>
                          </w:p>
                          <w:p w:rsidR="00775162" w:rsidRDefault="00E720ED" w:rsidP="00F07C79">
                            <w:pPr>
                              <w:pStyle w:val="NoSpacing"/>
                              <w:numPr>
                                <w:ilvl w:val="0"/>
                                <w:numId w:val="4"/>
                              </w:numPr>
                            </w:pPr>
                            <w:r>
                              <w:t>Upload the current TPOC in Ascend when doing the annual reassessment</w:t>
                            </w:r>
                            <w:r w:rsidR="00563C80">
                              <w:t>.</w:t>
                            </w:r>
                          </w:p>
                          <w:p w:rsidR="00E720ED" w:rsidRDefault="00E720ED" w:rsidP="00F07C79">
                            <w:pPr>
                              <w:pStyle w:val="NoSpacing"/>
                              <w:numPr>
                                <w:ilvl w:val="0"/>
                                <w:numId w:val="4"/>
                              </w:numPr>
                            </w:pPr>
                            <w:r>
                              <w:t>Check for critical incidents holding for information</w:t>
                            </w:r>
                            <w:r w:rsidR="00563C80">
                              <w:t>.</w:t>
                            </w:r>
                          </w:p>
                          <w:p w:rsidR="00742818" w:rsidRDefault="00742818" w:rsidP="00A73CFC">
                            <w:pPr>
                              <w:rPr>
                                <w:rFonts w:ascii="Candara" w:hAnsi="Candara" w:cs="Arial"/>
                              </w:rPr>
                            </w:pPr>
                          </w:p>
                          <w:p w:rsidR="00742818" w:rsidRPr="001F146C" w:rsidRDefault="00742818" w:rsidP="00A73CFC">
                            <w:pPr>
                              <w:rPr>
                                <w:rFonts w:ascii="Candara" w:hAnsi="Candara" w:cs="Arial"/>
                              </w:rPr>
                            </w:pPr>
                          </w:p>
                          <w:p w:rsidR="00742818" w:rsidRDefault="00742818" w:rsidP="00A73CFC">
                            <w:pPr>
                              <w:pStyle w:val="Picture-Professional"/>
                            </w:pPr>
                          </w:p>
                          <w:p w:rsidR="00742818" w:rsidRDefault="00742818" w:rsidP="00A73CFC">
                            <w:pPr>
                              <w:pStyle w:val="Picture-Professional"/>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63.25pt;margin-top:101.25pt;width:261pt;height:57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" o:allowincell="f" filled="f" strokecolor="window">
                <v:textbox>
                  <w:txbxContent>
                    <w:p w:rsidR="00742818" w:rsidRDefault="003662F8" w:rsidP="00C60D0E">
                      <w:pPr>
                        <w:pStyle w:val="NoSpacing"/>
                      </w:pPr>
                      <w:r w:rsidRPr="003662F8">
                        <w:t>Neither Medicare nor Medicaid cover any services provided in another country.  This includes all waiver services and medical</w:t>
                      </w:r>
                      <w:r>
                        <w:t xml:space="preserve"> </w:t>
                      </w:r>
                      <w:r w:rsidRPr="003662F8">
                        <w:t>services such as emergency room visits, hospitalizations, doctor visits, etc.  You may wish to advise caregivers</w:t>
                      </w:r>
                      <w:r w:rsidR="000B2BF4">
                        <w:t xml:space="preserve"> and your clients of this.</w:t>
                      </w:r>
                    </w:p>
                    <w:p w:rsidR="00742818" w:rsidRDefault="00742818" w:rsidP="00A73CFC">
                      <w:pPr>
                        <w:pStyle w:val="IntenseQuote"/>
                        <w:rPr>
                          <w:color w:val="548DD4" w:themeColor="text2" w:themeTint="99"/>
                        </w:rPr>
                      </w:pPr>
                      <w:r>
                        <w:rPr>
                          <w:color w:val="548DD4" w:themeColor="text2" w:themeTint="99"/>
                        </w:rPr>
                        <w:t xml:space="preserve">Help!  Services </w:t>
                      </w:r>
                      <w:r w:rsidR="00563C80">
                        <w:rPr>
                          <w:color w:val="548DD4" w:themeColor="text2" w:themeTint="99"/>
                        </w:rPr>
                        <w:t>Are</w:t>
                      </w:r>
                      <w:r>
                        <w:rPr>
                          <w:color w:val="548DD4" w:themeColor="text2" w:themeTint="99"/>
                        </w:rPr>
                        <w:t xml:space="preserve"> Discontinued</w:t>
                      </w:r>
                    </w:p>
                    <w:p w:rsidR="00840672" w:rsidRDefault="00742818" w:rsidP="00CB58C9">
                      <w:pPr>
                        <w:spacing w:line="240" w:lineRule="auto"/>
                        <w:rPr>
                          <w:rFonts w:ascii="Candara" w:hAnsi="Candara"/>
                        </w:rPr>
                      </w:pPr>
                      <w:r w:rsidRPr="001F146C">
                        <w:rPr>
                          <w:rFonts w:ascii="Candara" w:hAnsi="Candara"/>
                        </w:rPr>
                        <w:t xml:space="preserve">Numerous clients lose eligibility due to failure to submit the </w:t>
                      </w:r>
                      <w:r w:rsidR="00B3000F">
                        <w:rPr>
                          <w:rFonts w:ascii="Candara" w:hAnsi="Candara"/>
                        </w:rPr>
                        <w:t xml:space="preserve">Medicaid </w:t>
                      </w:r>
                      <w:r w:rsidRPr="001F146C">
                        <w:rPr>
                          <w:rFonts w:ascii="Candara" w:hAnsi="Candara"/>
                        </w:rPr>
                        <w:t xml:space="preserve">redetermination or financial information. </w:t>
                      </w:r>
                      <w:r w:rsidR="00F27316">
                        <w:rPr>
                          <w:rFonts w:ascii="Candara" w:hAnsi="Candara"/>
                        </w:rPr>
                        <w:t xml:space="preserve">Clients are issued a </w:t>
                      </w:r>
                      <w:r>
                        <w:rPr>
                          <w:rFonts w:ascii="Candara" w:hAnsi="Candara"/>
                        </w:rPr>
                        <w:t>Notice</w:t>
                      </w:r>
                      <w:r w:rsidR="009C1579">
                        <w:rPr>
                          <w:rFonts w:ascii="Candara" w:hAnsi="Candara"/>
                        </w:rPr>
                        <w:t xml:space="preserve"> of</w:t>
                      </w:r>
                      <w:r>
                        <w:rPr>
                          <w:rFonts w:ascii="Candara" w:hAnsi="Candara"/>
                        </w:rPr>
                        <w:t xml:space="preserve"> Action </w:t>
                      </w:r>
                      <w:r w:rsidR="00B3000F">
                        <w:rPr>
                          <w:rFonts w:ascii="Candara" w:hAnsi="Candara"/>
                        </w:rPr>
                        <w:t xml:space="preserve">which </w:t>
                      </w:r>
                      <w:r>
                        <w:rPr>
                          <w:rFonts w:ascii="Candara" w:hAnsi="Candara"/>
                        </w:rPr>
                        <w:t>states</w:t>
                      </w:r>
                      <w:r w:rsidR="00B3000F">
                        <w:rPr>
                          <w:rFonts w:ascii="Candara" w:hAnsi="Candara"/>
                        </w:rPr>
                        <w:t xml:space="preserve"> the deadline for</w:t>
                      </w:r>
                      <w:r>
                        <w:rPr>
                          <w:rFonts w:ascii="Candara" w:hAnsi="Candara"/>
                        </w:rPr>
                        <w:t xml:space="preserve"> submit</w:t>
                      </w:r>
                      <w:r w:rsidR="00840672">
                        <w:rPr>
                          <w:rFonts w:ascii="Candara" w:hAnsi="Candara"/>
                        </w:rPr>
                        <w:t>ting</w:t>
                      </w:r>
                      <w:r>
                        <w:rPr>
                          <w:rFonts w:ascii="Candara" w:hAnsi="Candara"/>
                        </w:rPr>
                        <w:t xml:space="preserve"> the documents</w:t>
                      </w:r>
                      <w:r w:rsidR="00F27316">
                        <w:rPr>
                          <w:rFonts w:ascii="Candara" w:hAnsi="Candara"/>
                        </w:rPr>
                        <w:t xml:space="preserve">. DSS Financial enters a memo in Ascend with </w:t>
                      </w:r>
                      <w:r w:rsidR="009C1579">
                        <w:rPr>
                          <w:rFonts w:ascii="Candara" w:hAnsi="Candara"/>
                        </w:rPr>
                        <w:t>the date that services must stop if th</w:t>
                      </w:r>
                      <w:r w:rsidR="00F27316">
                        <w:rPr>
                          <w:rFonts w:ascii="Candara" w:hAnsi="Candara"/>
                        </w:rPr>
                        <w:t>e documents are not submitted.</w:t>
                      </w:r>
                      <w:r>
                        <w:rPr>
                          <w:rFonts w:ascii="Candara" w:hAnsi="Candara"/>
                        </w:rPr>
                        <w:t xml:space="preserve"> </w:t>
                      </w:r>
                    </w:p>
                    <w:p w:rsidR="00742818" w:rsidRDefault="00142CF9" w:rsidP="00CB58C9">
                      <w:pPr>
                        <w:spacing w:line="240" w:lineRule="auto"/>
                        <w:rPr>
                          <w:rFonts w:ascii="Candara" w:hAnsi="Candara"/>
                        </w:rPr>
                      </w:pPr>
                      <w:r>
                        <w:rPr>
                          <w:rFonts w:ascii="Candara" w:hAnsi="Candara"/>
                        </w:rPr>
                        <w:t>W</w:t>
                      </w:r>
                      <w:r w:rsidR="00F61128">
                        <w:rPr>
                          <w:rFonts w:ascii="Candara" w:hAnsi="Candara"/>
                        </w:rPr>
                        <w:t>hen the documents have been submitted</w:t>
                      </w:r>
                      <w:r>
                        <w:rPr>
                          <w:rFonts w:ascii="Candara" w:hAnsi="Candara"/>
                        </w:rPr>
                        <w:t xml:space="preserve"> and</w:t>
                      </w:r>
                      <w:r w:rsidR="00F61128">
                        <w:rPr>
                          <w:rFonts w:ascii="Candara" w:hAnsi="Candara"/>
                        </w:rPr>
                        <w:t xml:space="preserve"> eligibility is restored</w:t>
                      </w:r>
                      <w:r>
                        <w:rPr>
                          <w:rFonts w:ascii="Candara" w:hAnsi="Candara"/>
                        </w:rPr>
                        <w:t xml:space="preserve"> there may not be</w:t>
                      </w:r>
                      <w:r w:rsidR="00434F37">
                        <w:rPr>
                          <w:rFonts w:ascii="Candara" w:hAnsi="Candara"/>
                        </w:rPr>
                        <w:t xml:space="preserve"> </w:t>
                      </w:r>
                      <w:r>
                        <w:rPr>
                          <w:rFonts w:ascii="Candara" w:hAnsi="Candara"/>
                        </w:rPr>
                        <w:t xml:space="preserve">a memo </w:t>
                      </w:r>
                      <w:r w:rsidR="00434F37">
                        <w:rPr>
                          <w:rFonts w:ascii="Candara" w:hAnsi="Candara"/>
                        </w:rPr>
                        <w:t xml:space="preserve">in Ascend rescinding the service discontinuation.  </w:t>
                      </w:r>
                      <w:r w:rsidR="00D85F4B">
                        <w:rPr>
                          <w:rFonts w:ascii="Candara" w:hAnsi="Candara"/>
                        </w:rPr>
                        <w:t>When withdrawal of services present</w:t>
                      </w:r>
                      <w:r w:rsidR="009D199F">
                        <w:rPr>
                          <w:rFonts w:ascii="Candara" w:hAnsi="Candara"/>
                        </w:rPr>
                        <w:t>s</w:t>
                      </w:r>
                      <w:r w:rsidR="00D85F4B">
                        <w:rPr>
                          <w:rFonts w:ascii="Candara" w:hAnsi="Candara"/>
                        </w:rPr>
                        <w:t xml:space="preserve"> a significant risk to the client’s health and sa</w:t>
                      </w:r>
                      <w:r w:rsidR="000701B0">
                        <w:rPr>
                          <w:rFonts w:ascii="Candara" w:hAnsi="Candara"/>
                        </w:rPr>
                        <w:t xml:space="preserve">fety, do not wait for </w:t>
                      </w:r>
                      <w:r w:rsidR="00840672">
                        <w:rPr>
                          <w:rFonts w:ascii="Candara" w:hAnsi="Candara"/>
                        </w:rPr>
                        <w:t>F</w:t>
                      </w:r>
                      <w:r w:rsidR="000701B0">
                        <w:rPr>
                          <w:rFonts w:ascii="Candara" w:hAnsi="Candara"/>
                        </w:rPr>
                        <w:t xml:space="preserve">inancial to respond to the memo.  </w:t>
                      </w:r>
                      <w:r w:rsidR="000701B0">
                        <w:rPr>
                          <w:rFonts w:ascii="Candara" w:hAnsi="Candara"/>
                        </w:rPr>
                        <w:t xml:space="preserve">Contact the </w:t>
                      </w:r>
                      <w:r w:rsidR="00840672">
                        <w:rPr>
                          <w:rFonts w:ascii="Candara" w:hAnsi="Candara"/>
                        </w:rPr>
                        <w:t>F</w:t>
                      </w:r>
                      <w:r w:rsidR="000701B0">
                        <w:rPr>
                          <w:rFonts w:ascii="Candara" w:hAnsi="Candara"/>
                        </w:rPr>
                        <w:t xml:space="preserve">inancial </w:t>
                      </w:r>
                      <w:r w:rsidR="00E751FB">
                        <w:rPr>
                          <w:rFonts w:ascii="Candara" w:hAnsi="Candara"/>
                        </w:rPr>
                        <w:t>U</w:t>
                      </w:r>
                      <w:bookmarkStart w:id="1" w:name="_GoBack"/>
                      <w:bookmarkEnd w:id="1"/>
                      <w:r w:rsidR="000701B0">
                        <w:rPr>
                          <w:rFonts w:ascii="Candara" w:hAnsi="Candara"/>
                        </w:rPr>
                        <w:t xml:space="preserve">nit directly.  </w:t>
                      </w:r>
                    </w:p>
                    <w:p w:rsidR="004040F5" w:rsidRPr="004040F5" w:rsidRDefault="004040F5" w:rsidP="004040F5">
                      <w:pPr>
                        <w:pBdr>
                          <w:bottom w:val="single" w:sz="4" w:space="4" w:color="4F81BD" w:themeColor="accent1"/>
                        </w:pBdr>
                        <w:spacing w:before="200" w:after="280"/>
                        <w:ind w:left="936" w:right="936"/>
                        <w:rPr>
                          <w:b/>
                          <w:bCs/>
                          <w:i/>
                          <w:iCs/>
                          <w:color w:val="548DD4" w:themeColor="text2" w:themeTint="99"/>
                        </w:rPr>
                      </w:pPr>
                      <w:r>
                        <w:rPr>
                          <w:b/>
                          <w:bCs/>
                          <w:i/>
                          <w:iCs/>
                          <w:color w:val="548DD4" w:themeColor="text2" w:themeTint="99"/>
                        </w:rPr>
                        <w:t xml:space="preserve">Ascend </w:t>
                      </w:r>
                      <w:r w:rsidR="003142DB">
                        <w:rPr>
                          <w:b/>
                          <w:bCs/>
                          <w:i/>
                          <w:iCs/>
                          <w:color w:val="548DD4" w:themeColor="text2" w:themeTint="99"/>
                        </w:rPr>
                        <w:t>Attachment</w:t>
                      </w:r>
                      <w:r>
                        <w:rPr>
                          <w:b/>
                          <w:bCs/>
                          <w:i/>
                          <w:iCs/>
                          <w:color w:val="548DD4" w:themeColor="text2" w:themeTint="99"/>
                        </w:rPr>
                        <w:t xml:space="preserve"> Accessibility</w:t>
                      </w:r>
                    </w:p>
                    <w:p w:rsidR="00742818" w:rsidRDefault="00C8567E" w:rsidP="00CB58C9">
                      <w:pPr>
                        <w:spacing w:line="240" w:lineRule="auto"/>
                        <w:rPr>
                          <w:rFonts w:ascii="Candara" w:hAnsi="Candara" w:cs="Arial"/>
                        </w:rPr>
                      </w:pPr>
                      <w:r>
                        <w:rPr>
                          <w:rFonts w:ascii="Candara" w:hAnsi="Candara" w:cs="Arial"/>
                        </w:rPr>
                        <w:t>The best recommendation for u</w:t>
                      </w:r>
                      <w:r w:rsidR="004040F5" w:rsidRPr="004040F5">
                        <w:rPr>
                          <w:rFonts w:ascii="Candara" w:hAnsi="Candara" w:cs="Arial"/>
                        </w:rPr>
                        <w:t>sers unable to open attachments is to ensure that the ascendami.com domain is added to the users’ trusted sites in their browsers</w:t>
                      </w:r>
                      <w:r w:rsidR="003142DB">
                        <w:rPr>
                          <w:rFonts w:ascii="Candara" w:hAnsi="Candara" w:cs="Arial"/>
                        </w:rPr>
                        <w:t xml:space="preserve"> and </w:t>
                      </w:r>
                      <w:r w:rsidR="004040F5" w:rsidRPr="004040F5">
                        <w:rPr>
                          <w:rFonts w:ascii="Candara" w:hAnsi="Candara" w:cs="Arial"/>
                        </w:rPr>
                        <w:t xml:space="preserve">using a supported browser.  </w:t>
                      </w:r>
                    </w:p>
                    <w:p w:rsidR="00775162" w:rsidRPr="004040F5" w:rsidRDefault="00775162" w:rsidP="00775162">
                      <w:pPr>
                        <w:pBdr>
                          <w:bottom w:val="single" w:sz="4" w:space="4" w:color="4F81BD" w:themeColor="accent1"/>
                        </w:pBdr>
                        <w:spacing w:before="200" w:after="280"/>
                        <w:ind w:left="936" w:right="936"/>
                        <w:rPr>
                          <w:b/>
                          <w:bCs/>
                          <w:i/>
                          <w:iCs/>
                          <w:color w:val="548DD4" w:themeColor="text2" w:themeTint="99"/>
                        </w:rPr>
                      </w:pPr>
                      <w:r>
                        <w:rPr>
                          <w:b/>
                          <w:bCs/>
                          <w:i/>
                          <w:iCs/>
                          <w:color w:val="548DD4" w:themeColor="text2" w:themeTint="99"/>
                        </w:rPr>
                        <w:t>Reminders</w:t>
                      </w:r>
                      <w:r w:rsidR="00E720ED">
                        <w:rPr>
                          <w:b/>
                          <w:bCs/>
                          <w:i/>
                          <w:iCs/>
                          <w:color w:val="548DD4" w:themeColor="text2" w:themeTint="99"/>
                        </w:rPr>
                        <w:t>, if you please:</w:t>
                      </w:r>
                    </w:p>
                    <w:p w:rsidR="00775162" w:rsidRDefault="00E720ED" w:rsidP="00F07C79">
                      <w:pPr>
                        <w:pStyle w:val="NoSpacing"/>
                        <w:numPr>
                          <w:ilvl w:val="0"/>
                          <w:numId w:val="4"/>
                        </w:numPr>
                      </w:pPr>
                      <w:r>
                        <w:t>Upload the current TPOC in Ascend when doing the annual reassessment</w:t>
                      </w:r>
                      <w:r w:rsidR="00563C80">
                        <w:t>.</w:t>
                      </w:r>
                    </w:p>
                    <w:p w:rsidR="00E720ED" w:rsidRDefault="00E720ED" w:rsidP="00F07C79">
                      <w:pPr>
                        <w:pStyle w:val="NoSpacing"/>
                        <w:numPr>
                          <w:ilvl w:val="0"/>
                          <w:numId w:val="4"/>
                        </w:numPr>
                      </w:pPr>
                      <w:r>
                        <w:t>Check for critical incidents holding for information</w:t>
                      </w:r>
                      <w:r w:rsidR="00563C80">
                        <w:t>.</w:t>
                      </w:r>
                    </w:p>
                    <w:p w:rsidR="00742818" w:rsidRDefault="00742818" w:rsidP="00A73CFC">
                      <w:pPr>
                        <w:rPr>
                          <w:rFonts w:ascii="Candara" w:hAnsi="Candara" w:cs="Arial"/>
                        </w:rPr>
                      </w:pPr>
                    </w:p>
                    <w:p w:rsidR="00742818" w:rsidRPr="001F146C" w:rsidRDefault="00742818" w:rsidP="00A73CFC">
                      <w:pPr>
                        <w:rPr>
                          <w:rFonts w:ascii="Candara" w:hAnsi="Candara" w:cs="Arial"/>
                        </w:rPr>
                      </w:pPr>
                    </w:p>
                    <w:p w:rsidR="00742818" w:rsidRDefault="00742818" w:rsidP="00A73CFC">
                      <w:pPr>
                        <w:pStyle w:val="Picture-Professional"/>
                      </w:pPr>
                    </w:p>
                    <w:p w:rsidR="00742818" w:rsidRDefault="00742818" w:rsidP="00A73CFC">
                      <w:pPr>
                        <w:pStyle w:val="Picture-Professional"/>
                      </w:pPr>
                      <w:r>
                        <w:t xml:space="preserve"> </w:t>
                      </w:r>
                    </w:p>
                  </w:txbxContent>
                </v:textbox>
              </v:shape>
            </w:pict>
          </mc:Fallback>
        </mc:AlternateContent>
      </w:r>
      <w:r w:rsidR="005F431C">
        <w:br w:type="page"/>
      </w:r>
    </w:p>
    <w:p w:rsidR="00E04E11" w:rsidRDefault="00E04E11" w:rsidP="00A41CF5">
      <w:pPr>
        <w:pBdr>
          <w:bottom w:val="single" w:sz="4" w:space="4" w:color="4F81BD" w:themeColor="accent1"/>
        </w:pBdr>
        <w:spacing w:before="200" w:after="280"/>
        <w:ind w:left="936" w:right="936"/>
        <w:rPr>
          <w:rFonts w:ascii="Candara" w:hAnsi="Candara"/>
        </w:rPr>
      </w:pPr>
      <w:r>
        <w:rPr>
          <w:b/>
          <w:bCs/>
          <w:i/>
          <w:iCs/>
          <w:color w:val="548DD4" w:themeColor="text2" w:themeTint="99"/>
        </w:rPr>
        <w:lastRenderedPageBreak/>
        <w:t>How Do I Request Home or Environmental Accessibility Modifications?</w:t>
      </w:r>
    </w:p>
    <w:p w:rsidR="00F52142" w:rsidRDefault="00F52142" w:rsidP="00F52142">
      <w:pPr>
        <w:pStyle w:val="NoSpacing"/>
        <w:jc w:val="center"/>
        <w:rPr>
          <w:rFonts w:ascii="Candara" w:hAnsi="Candara"/>
        </w:rPr>
      </w:pPr>
      <w:r>
        <w:rPr>
          <w:rFonts w:ascii="Helvetica" w:hAnsi="Helvetica" w:cs="Helvetica"/>
          <w:noProof/>
          <w:color w:val="0000FF"/>
          <w:sz w:val="20"/>
          <w:szCs w:val="20"/>
          <w:bdr w:val="none" w:sz="0" w:space="0" w:color="auto" w:frame="1"/>
        </w:rPr>
        <w:drawing>
          <wp:inline distT="0" distB="0" distL="0" distR="0" wp14:anchorId="3FAEBB8F" wp14:editId="2D5E2050">
            <wp:extent cx="1933575" cy="1228725"/>
            <wp:effectExtent l="0" t="0" r="9525" b="9525"/>
            <wp:docPr id="8" name="yui_3_5_1_1_1553265389678_859" descr="https://tse3.mm.bing.net/th?id=OIP.C0qYHPOu2t6bEuNLXeAdbQHaHo&amp;pid=15.1&amp;P=0&amp;w=300&amp;h=30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53265389678_859" descr="https://tse3.mm.bing.net/th?id=OIP.C0qYHPOu2t6bEuNLXeAdbQHaHo&amp;pid=15.1&amp;P=0&amp;w=300&amp;h=300">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1228725"/>
                    </a:xfrm>
                    <a:prstGeom prst="rect">
                      <a:avLst/>
                    </a:prstGeom>
                    <a:noFill/>
                    <a:ln>
                      <a:noFill/>
                    </a:ln>
                  </pic:spPr>
                </pic:pic>
              </a:graphicData>
            </a:graphic>
          </wp:inline>
        </w:drawing>
      </w:r>
    </w:p>
    <w:p w:rsidR="00F52142" w:rsidRDefault="00F52142" w:rsidP="005F5CF7">
      <w:pPr>
        <w:pStyle w:val="NoSpacing"/>
        <w:rPr>
          <w:rFonts w:ascii="Candara" w:hAnsi="Candara"/>
        </w:rPr>
      </w:pPr>
    </w:p>
    <w:p w:rsidR="00A41CF5" w:rsidRDefault="005F5CF7" w:rsidP="005F5CF7">
      <w:pPr>
        <w:pStyle w:val="NoSpacing"/>
        <w:rPr>
          <w:rFonts w:ascii="Candara" w:hAnsi="Candara"/>
        </w:rPr>
      </w:pPr>
      <w:r>
        <w:rPr>
          <w:rFonts w:ascii="Candara" w:hAnsi="Candara"/>
        </w:rPr>
        <w:t xml:space="preserve">These </w:t>
      </w:r>
      <w:r w:rsidR="00A41CF5">
        <w:rPr>
          <w:rFonts w:ascii="Candara" w:hAnsi="Candara"/>
        </w:rPr>
        <w:t xml:space="preserve">modifications </w:t>
      </w:r>
      <w:r>
        <w:rPr>
          <w:rFonts w:ascii="Candara" w:hAnsi="Candara"/>
        </w:rPr>
        <w:t>are one</w:t>
      </w:r>
      <w:r w:rsidR="00E04E11">
        <w:rPr>
          <w:rFonts w:ascii="Candara" w:hAnsi="Candara"/>
        </w:rPr>
        <w:t>-</w:t>
      </w:r>
      <w:r>
        <w:rPr>
          <w:rFonts w:ascii="Candara" w:hAnsi="Candara"/>
        </w:rPr>
        <w:t>time expenses allowabl</w:t>
      </w:r>
      <w:r w:rsidR="00C8567E">
        <w:rPr>
          <w:rFonts w:ascii="Candara" w:hAnsi="Candara"/>
        </w:rPr>
        <w:t xml:space="preserve">e up to $15,000 per client </w:t>
      </w:r>
      <w:r>
        <w:rPr>
          <w:rFonts w:ascii="Candara" w:hAnsi="Candara"/>
        </w:rPr>
        <w:t xml:space="preserve">over a 3 year period.  The purpose of the modification must be to maintain or increase independence and to prevent institutionalization.  Examples of what may be covered:  </w:t>
      </w:r>
    </w:p>
    <w:p w:rsidR="00A41CF5" w:rsidRDefault="005F5CF7" w:rsidP="00DA2C3D">
      <w:pPr>
        <w:pStyle w:val="NoSpacing"/>
        <w:numPr>
          <w:ilvl w:val="0"/>
          <w:numId w:val="5"/>
        </w:numPr>
        <w:rPr>
          <w:rFonts w:ascii="Candara" w:hAnsi="Candara"/>
        </w:rPr>
      </w:pPr>
      <w:r>
        <w:rPr>
          <w:rFonts w:ascii="Candara" w:hAnsi="Candara"/>
        </w:rPr>
        <w:t>grab bars</w:t>
      </w:r>
    </w:p>
    <w:p w:rsidR="00A41CF5" w:rsidRDefault="005F5CF7" w:rsidP="00DA2C3D">
      <w:pPr>
        <w:pStyle w:val="NoSpacing"/>
        <w:numPr>
          <w:ilvl w:val="0"/>
          <w:numId w:val="5"/>
        </w:numPr>
        <w:rPr>
          <w:rFonts w:ascii="Candara" w:hAnsi="Candara"/>
        </w:rPr>
      </w:pPr>
      <w:r>
        <w:rPr>
          <w:rFonts w:ascii="Candara" w:hAnsi="Candara"/>
        </w:rPr>
        <w:t>widening of doors</w:t>
      </w:r>
    </w:p>
    <w:p w:rsidR="00A41CF5" w:rsidRDefault="005F5CF7" w:rsidP="00DA2C3D">
      <w:pPr>
        <w:pStyle w:val="NoSpacing"/>
        <w:numPr>
          <w:ilvl w:val="0"/>
          <w:numId w:val="5"/>
        </w:numPr>
        <w:rPr>
          <w:rFonts w:ascii="Candara" w:hAnsi="Candara"/>
        </w:rPr>
      </w:pPr>
      <w:r>
        <w:rPr>
          <w:rFonts w:ascii="Candara" w:hAnsi="Candara"/>
        </w:rPr>
        <w:t>bathroom modifications</w:t>
      </w:r>
    </w:p>
    <w:p w:rsidR="005F5CF7" w:rsidRDefault="005F5CF7" w:rsidP="00DA2C3D">
      <w:pPr>
        <w:pStyle w:val="NoSpacing"/>
        <w:numPr>
          <w:ilvl w:val="0"/>
          <w:numId w:val="5"/>
        </w:numPr>
        <w:rPr>
          <w:rFonts w:ascii="Candara" w:hAnsi="Candara"/>
        </w:rPr>
      </w:pPr>
      <w:r>
        <w:rPr>
          <w:rFonts w:ascii="Candara" w:hAnsi="Candara"/>
        </w:rPr>
        <w:t xml:space="preserve">ramps  </w:t>
      </w:r>
    </w:p>
    <w:p w:rsidR="00DA2C3D" w:rsidRDefault="00DA2C3D" w:rsidP="005F5CF7">
      <w:pPr>
        <w:pStyle w:val="NoSpacing"/>
        <w:rPr>
          <w:rFonts w:ascii="Candara" w:hAnsi="Candara"/>
        </w:rPr>
      </w:pPr>
    </w:p>
    <w:p w:rsidR="005F5CF7" w:rsidRDefault="005F5CF7" w:rsidP="005F5CF7">
      <w:pPr>
        <w:pStyle w:val="NoSpacing"/>
        <w:rPr>
          <w:rFonts w:ascii="Candara" w:hAnsi="Candara"/>
        </w:rPr>
      </w:pPr>
      <w:r>
        <w:rPr>
          <w:rFonts w:ascii="Candara" w:hAnsi="Candara"/>
        </w:rPr>
        <w:t>The goal must be included on the toolkit and state which unmet need</w:t>
      </w:r>
      <w:r w:rsidR="00DA2C3D">
        <w:rPr>
          <w:rFonts w:ascii="Candara" w:hAnsi="Candara"/>
        </w:rPr>
        <w:t>(s)</w:t>
      </w:r>
      <w:r>
        <w:rPr>
          <w:rFonts w:ascii="Candara" w:hAnsi="Candara"/>
        </w:rPr>
        <w:t xml:space="preserve"> this will address.  This</w:t>
      </w:r>
      <w:r w:rsidR="00DA2C3D">
        <w:rPr>
          <w:rFonts w:ascii="Candara" w:hAnsi="Candara"/>
        </w:rPr>
        <w:t xml:space="preserve"> dollar amount</w:t>
      </w:r>
      <w:r>
        <w:rPr>
          <w:rFonts w:ascii="Candara" w:hAnsi="Candara"/>
        </w:rPr>
        <w:t xml:space="preserve"> is outside of the client’s total budget and not to be included in the monthly Universal Plan of Care.</w:t>
      </w:r>
    </w:p>
    <w:p w:rsidR="00DA2C3D" w:rsidRDefault="00DA2C3D" w:rsidP="005F5CF7">
      <w:pPr>
        <w:pStyle w:val="NoSpacing"/>
        <w:rPr>
          <w:rFonts w:ascii="Candara" w:hAnsi="Candara"/>
        </w:rPr>
      </w:pPr>
    </w:p>
    <w:p w:rsidR="00DA2C3D" w:rsidRDefault="005F5CF7" w:rsidP="005F5CF7">
      <w:pPr>
        <w:pStyle w:val="NoSpacing"/>
        <w:rPr>
          <w:rFonts w:ascii="Candara" w:hAnsi="Candara"/>
        </w:rPr>
      </w:pPr>
      <w:r>
        <w:rPr>
          <w:rFonts w:ascii="Candara" w:hAnsi="Candara"/>
        </w:rPr>
        <w:t xml:space="preserve">Community Options nurse, Maria Dexter, approves all PCA waiver/CFC and CHCPE.  Paul Ford approves all MFP and CFC home modifications.  DSS may request </w:t>
      </w:r>
      <w:r w:rsidR="000164A0">
        <w:rPr>
          <w:rFonts w:ascii="Candara" w:hAnsi="Candara"/>
        </w:rPr>
        <w:t>PT/OT evaluations</w:t>
      </w:r>
      <w:r>
        <w:rPr>
          <w:rFonts w:ascii="Candara" w:hAnsi="Candara"/>
        </w:rPr>
        <w:t xml:space="preserve"> prior to the home modification. </w:t>
      </w:r>
    </w:p>
    <w:p w:rsidR="00DA2C3D" w:rsidRDefault="00DA2C3D" w:rsidP="005F5CF7">
      <w:pPr>
        <w:pStyle w:val="NoSpacing"/>
        <w:rPr>
          <w:rFonts w:ascii="Candara" w:hAnsi="Candara"/>
        </w:rPr>
      </w:pPr>
    </w:p>
    <w:p w:rsidR="005F5CF7" w:rsidRDefault="00244857" w:rsidP="005F5CF7">
      <w:pPr>
        <w:pStyle w:val="NoSpacing"/>
        <w:rPr>
          <w:rFonts w:ascii="Candara" w:hAnsi="Candara"/>
        </w:rPr>
      </w:pPr>
      <w:r>
        <w:rPr>
          <w:rFonts w:ascii="Candara" w:hAnsi="Candara"/>
        </w:rPr>
        <w:t>Contractor q</w:t>
      </w:r>
      <w:r w:rsidR="005F5CF7">
        <w:rPr>
          <w:rFonts w:ascii="Candara" w:hAnsi="Candara"/>
        </w:rPr>
        <w:t xml:space="preserve">uotes must be submitted and itemized.  </w:t>
      </w:r>
      <w:r>
        <w:rPr>
          <w:rFonts w:ascii="Candara" w:hAnsi="Candara"/>
        </w:rPr>
        <w:t>T</w:t>
      </w:r>
      <w:r w:rsidR="005F5CF7">
        <w:rPr>
          <w:rFonts w:ascii="Candara" w:hAnsi="Candara"/>
        </w:rPr>
        <w:t>he provider will</w:t>
      </w:r>
      <w:r>
        <w:rPr>
          <w:rFonts w:ascii="Candara" w:hAnsi="Candara"/>
        </w:rPr>
        <w:t xml:space="preserve"> absolutely</w:t>
      </w:r>
      <w:r w:rsidR="005F5CF7">
        <w:rPr>
          <w:rFonts w:ascii="Candara" w:hAnsi="Candara"/>
        </w:rPr>
        <w:t xml:space="preserve"> not be paid an amount in excess of $15,000.  Allied must credential approved contractors.  Contractors do not get paid until the work is completed</w:t>
      </w:r>
      <w:r w:rsidR="00C35107">
        <w:rPr>
          <w:rFonts w:ascii="Candara" w:hAnsi="Candara"/>
        </w:rPr>
        <w:t xml:space="preserve"> and have submitted</w:t>
      </w:r>
      <w:r w:rsidR="005F5CF7">
        <w:rPr>
          <w:rFonts w:ascii="Candara" w:hAnsi="Candara"/>
        </w:rPr>
        <w:t xml:space="preserve"> the invoice to </w:t>
      </w:r>
      <w:proofErr w:type="gramStart"/>
      <w:r w:rsidR="005F5CF7">
        <w:rPr>
          <w:rFonts w:ascii="Candara" w:hAnsi="Candara"/>
        </w:rPr>
        <w:t>Allied</w:t>
      </w:r>
      <w:proofErr w:type="gramEnd"/>
      <w:r w:rsidR="005F5CF7">
        <w:rPr>
          <w:rFonts w:ascii="Candara" w:hAnsi="Candara"/>
        </w:rPr>
        <w:t xml:space="preserve"> </w:t>
      </w:r>
      <w:r w:rsidR="00EE7AC2">
        <w:rPr>
          <w:rFonts w:ascii="Candara" w:hAnsi="Candara"/>
        </w:rPr>
        <w:t>after</w:t>
      </w:r>
      <w:r w:rsidR="005F5CF7">
        <w:rPr>
          <w:rFonts w:ascii="Candara" w:hAnsi="Candara"/>
        </w:rPr>
        <w:t xml:space="preserve"> the work is completed.  Allied </w:t>
      </w:r>
      <w:r w:rsidR="00DC0C2F">
        <w:rPr>
          <w:rFonts w:ascii="Candara" w:hAnsi="Candara"/>
        </w:rPr>
        <w:t xml:space="preserve">will </w:t>
      </w:r>
      <w:r w:rsidR="00C35107">
        <w:rPr>
          <w:rFonts w:ascii="Candara" w:hAnsi="Candara"/>
        </w:rPr>
        <w:t>pay the provider directly</w:t>
      </w:r>
      <w:r w:rsidR="005F5CF7">
        <w:rPr>
          <w:rFonts w:ascii="Candara" w:hAnsi="Candara"/>
        </w:rPr>
        <w:t xml:space="preserve">.   </w:t>
      </w:r>
      <w:r w:rsidR="00DC0C2F">
        <w:rPr>
          <w:rFonts w:ascii="Candara" w:hAnsi="Candara"/>
        </w:rPr>
        <w:t>C</w:t>
      </w:r>
      <w:r w:rsidR="005F5CF7">
        <w:rPr>
          <w:rFonts w:ascii="Candara" w:hAnsi="Candara"/>
        </w:rPr>
        <w:t>lients should complete a satisfaction survey</w:t>
      </w:r>
      <w:r w:rsidR="00DC0C2F">
        <w:rPr>
          <w:rFonts w:ascii="Candara" w:hAnsi="Candara"/>
        </w:rPr>
        <w:t xml:space="preserve"> when the work is finished</w:t>
      </w:r>
      <w:r w:rsidR="005F5CF7">
        <w:rPr>
          <w:rFonts w:ascii="Candara" w:hAnsi="Candara"/>
        </w:rPr>
        <w:t xml:space="preserve">.  </w:t>
      </w:r>
      <w:r w:rsidR="005F5CF7" w:rsidRPr="00D110E5">
        <w:rPr>
          <w:rFonts w:ascii="Candara" w:hAnsi="Candara"/>
        </w:rPr>
        <w:t xml:space="preserve"> </w:t>
      </w:r>
    </w:p>
    <w:p w:rsidR="00716C8B" w:rsidRDefault="00716C8B" w:rsidP="005F5CF7">
      <w:pPr>
        <w:pStyle w:val="NoSpacing"/>
        <w:rPr>
          <w:rFonts w:ascii="Candara" w:hAnsi="Candara"/>
        </w:rPr>
      </w:pPr>
    </w:p>
    <w:p w:rsidR="00800A4E" w:rsidRDefault="00800A4E" w:rsidP="002C5201">
      <w:pPr>
        <w:pBdr>
          <w:bottom w:val="single" w:sz="4" w:space="4" w:color="4F81BD" w:themeColor="accent1"/>
        </w:pBdr>
        <w:spacing w:before="200" w:after="280"/>
        <w:ind w:left="936" w:right="936"/>
        <w:rPr>
          <w:b/>
          <w:bCs/>
          <w:i/>
          <w:iCs/>
          <w:color w:val="548DD4" w:themeColor="text2" w:themeTint="99"/>
        </w:rPr>
      </w:pPr>
    </w:p>
    <w:p w:rsidR="00800A4E" w:rsidRDefault="00800A4E" w:rsidP="002C5201">
      <w:pPr>
        <w:pBdr>
          <w:bottom w:val="single" w:sz="4" w:space="4" w:color="4F81BD" w:themeColor="accent1"/>
        </w:pBdr>
        <w:spacing w:before="200" w:after="280"/>
        <w:ind w:left="936" w:right="936"/>
        <w:rPr>
          <w:b/>
          <w:bCs/>
          <w:i/>
          <w:iCs/>
          <w:color w:val="548DD4" w:themeColor="text2" w:themeTint="99"/>
        </w:rPr>
      </w:pPr>
    </w:p>
    <w:p w:rsidR="00800A4E" w:rsidRDefault="002E3A73" w:rsidP="002C5201">
      <w:pPr>
        <w:pBdr>
          <w:bottom w:val="single" w:sz="4" w:space="4" w:color="4F81BD" w:themeColor="accent1"/>
        </w:pBdr>
        <w:spacing w:before="200" w:after="280"/>
        <w:ind w:left="936" w:right="936"/>
        <w:rPr>
          <w:b/>
          <w:bCs/>
          <w:i/>
          <w:iCs/>
          <w:color w:val="548DD4" w:themeColor="text2" w:themeTint="99"/>
        </w:rPr>
      </w:pPr>
      <w:r>
        <w:rPr>
          <w:b/>
          <w:bCs/>
          <w:i/>
          <w:iCs/>
          <w:color w:val="548DD4" w:themeColor="text2" w:themeTint="99"/>
        </w:rPr>
        <w:tab/>
      </w:r>
    </w:p>
    <w:p w:rsidR="00800A4E" w:rsidRDefault="00800A4E" w:rsidP="002C5201">
      <w:pPr>
        <w:pBdr>
          <w:bottom w:val="single" w:sz="4" w:space="4" w:color="4F81BD" w:themeColor="accent1"/>
        </w:pBdr>
        <w:spacing w:before="200" w:after="280"/>
        <w:ind w:left="936" w:right="936"/>
        <w:rPr>
          <w:b/>
          <w:bCs/>
          <w:i/>
          <w:iCs/>
          <w:color w:val="548DD4" w:themeColor="text2" w:themeTint="99"/>
        </w:rPr>
      </w:pPr>
    </w:p>
    <w:p w:rsidR="00800A4E" w:rsidRDefault="002C5201" w:rsidP="002C5201">
      <w:pPr>
        <w:pBdr>
          <w:bottom w:val="single" w:sz="4" w:space="4" w:color="4F81BD" w:themeColor="accent1"/>
        </w:pBdr>
        <w:spacing w:before="200" w:after="280"/>
        <w:ind w:left="936" w:right="936"/>
        <w:rPr>
          <w:rFonts w:ascii="Candara" w:hAnsi="Candara"/>
        </w:rPr>
      </w:pPr>
      <w:r>
        <w:rPr>
          <w:b/>
          <w:bCs/>
          <w:i/>
          <w:iCs/>
          <w:color w:val="548DD4" w:themeColor="text2" w:themeTint="99"/>
        </w:rPr>
        <w:lastRenderedPageBreak/>
        <w:t>March Madness</w:t>
      </w:r>
      <w:r w:rsidR="00800A4E">
        <w:rPr>
          <w:b/>
          <w:bCs/>
          <w:i/>
          <w:iCs/>
          <w:color w:val="548DD4" w:themeColor="text2" w:themeTint="99"/>
        </w:rPr>
        <w:t xml:space="preserve"> – Critical Incident Scores</w:t>
      </w:r>
    </w:p>
    <w:p w:rsidR="003F5C52" w:rsidRDefault="004B4EB8" w:rsidP="004B4EB8">
      <w:pPr>
        <w:spacing w:after="0" w:line="240" w:lineRule="auto"/>
        <w:jc w:val="center"/>
        <w:rPr>
          <w:rStyle w:val="IntenseReference"/>
        </w:rPr>
      </w:pPr>
      <w:r>
        <w:rPr>
          <w:rFonts w:ascii="Helvetica" w:hAnsi="Helvetica" w:cs="Helvetica"/>
          <w:noProof/>
          <w:color w:val="0000FF"/>
          <w:sz w:val="20"/>
          <w:szCs w:val="20"/>
          <w:bdr w:val="none" w:sz="0" w:space="0" w:color="auto" w:frame="1"/>
        </w:rPr>
        <w:drawing>
          <wp:inline distT="0" distB="0" distL="0" distR="0" wp14:anchorId="42E4EF73" wp14:editId="502CD101">
            <wp:extent cx="1619250" cy="1219200"/>
            <wp:effectExtent l="0" t="0" r="0" b="0"/>
            <wp:docPr id="5" name="yui_3_5_1_1_1553263063848_2363" descr="https://tse4.mm.bing.net/th?id=OIP.jqQg65CRfzRAiT5-EmBi3wHaFk&amp;pid=15.1&amp;P=0&amp;w=170&amp;h=128">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53263063848_2363" descr="https://tse4.mm.bing.net/th?id=OIP.jqQg65CRfzRAiT5-EmBi3wHaFk&amp;pid=15.1&amp;P=0&amp;w=170&amp;h=128">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rsidR="00DC0C2F" w:rsidRDefault="00DC0C2F" w:rsidP="002734D8">
      <w:pPr>
        <w:spacing w:after="0" w:line="240" w:lineRule="auto"/>
        <w:rPr>
          <w:rStyle w:val="IntenseReference"/>
        </w:rPr>
      </w:pPr>
    </w:p>
    <w:p w:rsidR="00DC0C2F" w:rsidRDefault="00DC0C2F" w:rsidP="002734D8">
      <w:pPr>
        <w:spacing w:after="0" w:line="240" w:lineRule="auto"/>
        <w:rPr>
          <w:rStyle w:val="IntenseReference"/>
        </w:rPr>
      </w:pPr>
    </w:p>
    <w:p w:rsidR="00B63B32" w:rsidRDefault="00FF5411" w:rsidP="002734D8">
      <w:pPr>
        <w:spacing w:after="0" w:line="240" w:lineRule="auto"/>
        <w:rPr>
          <w:rFonts w:ascii="Candara" w:hAnsi="Candara"/>
        </w:rPr>
      </w:pPr>
      <w:r>
        <w:rPr>
          <w:rFonts w:ascii="Candara" w:hAnsi="Candara"/>
        </w:rPr>
        <w:t xml:space="preserve">The score that must be achieved is an overall average </w:t>
      </w:r>
      <w:r w:rsidR="000C0CB4">
        <w:rPr>
          <w:rFonts w:ascii="Candara" w:hAnsi="Candara"/>
        </w:rPr>
        <w:t>of 86% or higher of critical incidents being reported within two business days for all Access Agencies combined</w:t>
      </w:r>
    </w:p>
    <w:p w:rsidR="00EE7AC2" w:rsidRDefault="00EE7AC2" w:rsidP="002734D8">
      <w:pPr>
        <w:spacing w:after="0" w:line="240" w:lineRule="auto"/>
        <w:rPr>
          <w:rFonts w:ascii="Candara" w:hAnsi="Candara"/>
        </w:rPr>
      </w:pPr>
    </w:p>
    <w:p w:rsidR="00B63B32" w:rsidRDefault="00BA6C91" w:rsidP="002734D8">
      <w:pPr>
        <w:spacing w:after="0" w:line="240" w:lineRule="auto"/>
        <w:rPr>
          <w:rFonts w:ascii="Candara" w:hAnsi="Candara"/>
        </w:rPr>
      </w:pPr>
      <w:r w:rsidRPr="00BA6C91">
        <w:rPr>
          <w:rFonts w:ascii="Candara" w:hAnsi="Candara"/>
        </w:rPr>
        <w:t>Below are the results for January and February</w:t>
      </w:r>
      <w:r w:rsidR="00346AD8">
        <w:rPr>
          <w:rFonts w:ascii="Candara" w:hAnsi="Candara"/>
        </w:rPr>
        <w:t xml:space="preserve"> for the six Access Agency offices </w:t>
      </w:r>
      <w:bookmarkStart w:id="0" w:name="_GoBack"/>
      <w:bookmarkEnd w:id="0"/>
      <w:r w:rsidRPr="00BA6C91">
        <w:rPr>
          <w:rFonts w:ascii="Candara" w:hAnsi="Candara"/>
        </w:rPr>
        <w:t>and overall, scores have been rising. With sustained effort and concentration, all of our players can score that winning goal</w:t>
      </w:r>
      <w:r>
        <w:rPr>
          <w:rFonts w:ascii="Candara" w:hAnsi="Candara"/>
        </w:rPr>
        <w:t>.</w:t>
      </w:r>
    </w:p>
    <w:p w:rsidR="00BA6C91" w:rsidRDefault="00BA6C91" w:rsidP="002734D8">
      <w:pPr>
        <w:spacing w:after="0" w:line="240" w:lineRule="auto"/>
        <w:rPr>
          <w:rStyle w:val="IntenseReference"/>
        </w:rPr>
      </w:pPr>
    </w:p>
    <w:p w:rsidR="00DC0C2F" w:rsidRDefault="00DC0C2F" w:rsidP="002734D8">
      <w:pPr>
        <w:spacing w:after="0" w:line="240" w:lineRule="auto"/>
        <w:rPr>
          <w:rStyle w:val="IntenseReference"/>
        </w:rPr>
      </w:pPr>
      <w:r>
        <w:rPr>
          <w:noProof/>
        </w:rPr>
        <w:drawing>
          <wp:inline distT="0" distB="0" distL="0" distR="0" wp14:anchorId="0D86D256" wp14:editId="083FF4E1">
            <wp:extent cx="3200400" cy="2928201"/>
            <wp:effectExtent l="0" t="0" r="19050" b="247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C0C2F" w:rsidRDefault="00DC0C2F" w:rsidP="002734D8">
      <w:pPr>
        <w:spacing w:after="0" w:line="240" w:lineRule="auto"/>
        <w:rPr>
          <w:rStyle w:val="IntenseReference"/>
        </w:rPr>
      </w:pPr>
    </w:p>
    <w:p w:rsidR="00DC0C2F" w:rsidRDefault="00DC0C2F" w:rsidP="002734D8">
      <w:pPr>
        <w:spacing w:after="0" w:line="240" w:lineRule="auto"/>
        <w:rPr>
          <w:rStyle w:val="IntenseReference"/>
        </w:rPr>
      </w:pPr>
    </w:p>
    <w:p w:rsidR="00DC0C2F" w:rsidRDefault="00DC0C2F" w:rsidP="002734D8">
      <w:pPr>
        <w:spacing w:after="0" w:line="240" w:lineRule="auto"/>
        <w:rPr>
          <w:rStyle w:val="IntenseReference"/>
        </w:rPr>
      </w:pPr>
    </w:p>
    <w:p w:rsidR="00DC0C2F" w:rsidRDefault="00DC0C2F" w:rsidP="002734D8">
      <w:pPr>
        <w:spacing w:after="0" w:line="240" w:lineRule="auto"/>
        <w:rPr>
          <w:rStyle w:val="IntenseReference"/>
        </w:rPr>
      </w:pPr>
    </w:p>
    <w:p w:rsidR="00903939" w:rsidRDefault="00903939" w:rsidP="002734D8">
      <w:pPr>
        <w:spacing w:after="0" w:line="240" w:lineRule="auto"/>
        <w:rPr>
          <w:rStyle w:val="IntenseEmphasis"/>
        </w:rPr>
      </w:pPr>
    </w:p>
    <w:p w:rsidR="00903939" w:rsidRDefault="00903939" w:rsidP="002734D8">
      <w:pPr>
        <w:spacing w:after="0" w:line="240" w:lineRule="auto"/>
        <w:rPr>
          <w:rStyle w:val="IntenseEmphasis"/>
        </w:rPr>
      </w:pPr>
    </w:p>
    <w:p w:rsidR="00903939" w:rsidRDefault="00903939" w:rsidP="002734D8">
      <w:pPr>
        <w:spacing w:after="0" w:line="240" w:lineRule="auto"/>
        <w:rPr>
          <w:rStyle w:val="IntenseEmphasis"/>
        </w:rPr>
      </w:pPr>
    </w:p>
    <w:p w:rsidR="00401019" w:rsidRDefault="002E3A73" w:rsidP="002734D8">
      <w:pPr>
        <w:spacing w:after="0" w:line="240" w:lineRule="auto"/>
        <w:rPr>
          <w:rStyle w:val="IntenseEmphasis"/>
        </w:rPr>
      </w:pPr>
      <w:proofErr w:type="gramStart"/>
      <w:r w:rsidRPr="0030056C">
        <w:rPr>
          <w:rStyle w:val="IntenseEmphasis"/>
        </w:rPr>
        <w:t>Questions?</w:t>
      </w:r>
      <w:proofErr w:type="gramEnd"/>
      <w:r w:rsidRPr="0030056C">
        <w:rPr>
          <w:rStyle w:val="IntenseEmphasis"/>
        </w:rPr>
        <w:t xml:space="preserve">  </w:t>
      </w:r>
      <w:r w:rsidR="00903939">
        <w:rPr>
          <w:rStyle w:val="IntenseEmphasis"/>
        </w:rPr>
        <w:tab/>
      </w:r>
      <w:proofErr w:type="gramStart"/>
      <w:r w:rsidRPr="0030056C">
        <w:rPr>
          <w:rStyle w:val="IntenseEmphasis"/>
        </w:rPr>
        <w:t>Comments?</w:t>
      </w:r>
      <w:proofErr w:type="gramEnd"/>
    </w:p>
    <w:p w:rsidR="00886101" w:rsidRPr="002734D8" w:rsidRDefault="00886101" w:rsidP="002734D8">
      <w:pPr>
        <w:spacing w:after="0" w:line="240" w:lineRule="auto"/>
        <w:rPr>
          <w:rFonts w:ascii="Candara" w:eastAsiaTheme="minorEastAsia" w:hAnsi="Candara" w:cs="Times New Roman"/>
        </w:rPr>
      </w:pPr>
    </w:p>
    <w:p w:rsidR="00886101" w:rsidRDefault="0030056C">
      <w:pPr>
        <w:rPr>
          <w:rStyle w:val="IntenseEmphasis"/>
        </w:rPr>
      </w:pPr>
      <w:r w:rsidRPr="00903939">
        <w:rPr>
          <w:rStyle w:val="IntenseEmphasis"/>
        </w:rPr>
        <w:t xml:space="preserve">Email:  </w:t>
      </w:r>
      <w:hyperlink r:id="rId18" w:history="1">
        <w:r w:rsidR="00886101" w:rsidRPr="003205CA">
          <w:rPr>
            <w:rStyle w:val="Hyperlink"/>
          </w:rPr>
          <w:t>sheila.nolte@ct.gov</w:t>
        </w:r>
      </w:hyperlink>
      <w:r w:rsidR="00886101">
        <w:rPr>
          <w:rStyle w:val="IntenseEmphasis"/>
        </w:rPr>
        <w:t xml:space="preserve"> </w:t>
      </w:r>
    </w:p>
    <w:p w:rsidR="00D74FB8" w:rsidRPr="00903939" w:rsidRDefault="00886101">
      <w:pPr>
        <w:rPr>
          <w:rStyle w:val="IntenseEmphasis"/>
        </w:rPr>
      </w:pPr>
      <w:proofErr w:type="gramStart"/>
      <w:r>
        <w:rPr>
          <w:rStyle w:val="IntenseEmphasis"/>
        </w:rPr>
        <w:t>or</w:t>
      </w:r>
      <w:proofErr w:type="gramEnd"/>
      <w:r>
        <w:rPr>
          <w:rStyle w:val="IntenseEmphasis"/>
        </w:rPr>
        <w:t xml:space="preserve"> call 860-424-4806</w:t>
      </w:r>
    </w:p>
    <w:sectPr w:rsidR="00D74FB8" w:rsidRPr="00903939" w:rsidSect="00E053A7">
      <w:footerReference w:type="default" r:id="rId19"/>
      <w:pgSz w:w="12240" w:h="15840"/>
      <w:pgMar w:top="720" w:right="720" w:bottom="720"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818" w:rsidRDefault="00742818" w:rsidP="00777FEF">
      <w:pPr>
        <w:spacing w:after="0" w:line="240" w:lineRule="auto"/>
      </w:pPr>
      <w:r>
        <w:separator/>
      </w:r>
    </w:p>
  </w:endnote>
  <w:endnote w:type="continuationSeparator" w:id="0">
    <w:p w:rsidR="00742818" w:rsidRDefault="00742818" w:rsidP="0077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38047"/>
      <w:docPartObj>
        <w:docPartGallery w:val="Page Numbers (Bottom of Page)"/>
        <w:docPartUnique/>
      </w:docPartObj>
    </w:sdtPr>
    <w:sdtEndPr>
      <w:rPr>
        <w:color w:val="808080" w:themeColor="background1" w:themeShade="80"/>
        <w:spacing w:val="60"/>
      </w:rPr>
    </w:sdtEndPr>
    <w:sdtContent>
      <w:p w:rsidR="00742818" w:rsidRDefault="007428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12983" w:rsidRPr="00712983">
          <w:rPr>
            <w:b/>
            <w:bCs/>
            <w:noProof/>
          </w:rPr>
          <w:t>1</w:t>
        </w:r>
        <w:r>
          <w:rPr>
            <w:b/>
            <w:bCs/>
            <w:noProof/>
          </w:rPr>
          <w:fldChar w:fldCharType="end"/>
        </w:r>
        <w:r>
          <w:rPr>
            <w:b/>
            <w:bCs/>
          </w:rPr>
          <w:t xml:space="preserve"> | </w:t>
        </w:r>
        <w:r>
          <w:rPr>
            <w:color w:val="808080" w:themeColor="background1" w:themeShade="80"/>
            <w:spacing w:val="60"/>
          </w:rPr>
          <w:t>Page</w:t>
        </w:r>
      </w:p>
    </w:sdtContent>
  </w:sdt>
  <w:p w:rsidR="00742818" w:rsidRDefault="00742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818" w:rsidRDefault="00742818" w:rsidP="00777FEF">
      <w:pPr>
        <w:spacing w:after="0" w:line="240" w:lineRule="auto"/>
      </w:pPr>
      <w:r>
        <w:separator/>
      </w:r>
    </w:p>
  </w:footnote>
  <w:footnote w:type="continuationSeparator" w:id="0">
    <w:p w:rsidR="00742818" w:rsidRDefault="00742818" w:rsidP="00777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4211F"/>
    <w:multiLevelType w:val="hybridMultilevel"/>
    <w:tmpl w:val="BA68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432C0E"/>
    <w:multiLevelType w:val="hybridMultilevel"/>
    <w:tmpl w:val="89B0B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1B4D12"/>
    <w:multiLevelType w:val="hybridMultilevel"/>
    <w:tmpl w:val="FE6E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0D38D2"/>
    <w:multiLevelType w:val="hybridMultilevel"/>
    <w:tmpl w:val="24FE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317A6E"/>
    <w:multiLevelType w:val="hybridMultilevel"/>
    <w:tmpl w:val="4D20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7D"/>
    <w:rsid w:val="00011F5F"/>
    <w:rsid w:val="000164A0"/>
    <w:rsid w:val="000701B0"/>
    <w:rsid w:val="00076E3B"/>
    <w:rsid w:val="000B2BF4"/>
    <w:rsid w:val="000C0CB4"/>
    <w:rsid w:val="000F57D0"/>
    <w:rsid w:val="000F777D"/>
    <w:rsid w:val="0013496A"/>
    <w:rsid w:val="00142CF9"/>
    <w:rsid w:val="00151032"/>
    <w:rsid w:val="0016079C"/>
    <w:rsid w:val="00192788"/>
    <w:rsid w:val="001A5C59"/>
    <w:rsid w:val="001D661A"/>
    <w:rsid w:val="001D684F"/>
    <w:rsid w:val="001E5D96"/>
    <w:rsid w:val="0020372C"/>
    <w:rsid w:val="00203780"/>
    <w:rsid w:val="00244857"/>
    <w:rsid w:val="002734D8"/>
    <w:rsid w:val="00287D9D"/>
    <w:rsid w:val="002A417D"/>
    <w:rsid w:val="002A7A1F"/>
    <w:rsid w:val="002C5201"/>
    <w:rsid w:val="002D6E04"/>
    <w:rsid w:val="002E3A73"/>
    <w:rsid w:val="002F0567"/>
    <w:rsid w:val="0030056C"/>
    <w:rsid w:val="003142DB"/>
    <w:rsid w:val="00320836"/>
    <w:rsid w:val="00330E78"/>
    <w:rsid w:val="00335492"/>
    <w:rsid w:val="00346AD8"/>
    <w:rsid w:val="00352869"/>
    <w:rsid w:val="003662F8"/>
    <w:rsid w:val="00384403"/>
    <w:rsid w:val="003A7A7D"/>
    <w:rsid w:val="003B3A9C"/>
    <w:rsid w:val="003F5C52"/>
    <w:rsid w:val="00401019"/>
    <w:rsid w:val="004040F5"/>
    <w:rsid w:val="00407B08"/>
    <w:rsid w:val="00423C37"/>
    <w:rsid w:val="00434F37"/>
    <w:rsid w:val="004432C7"/>
    <w:rsid w:val="00480AA6"/>
    <w:rsid w:val="004A12C0"/>
    <w:rsid w:val="004A2E0A"/>
    <w:rsid w:val="004B01E4"/>
    <w:rsid w:val="004B4EB8"/>
    <w:rsid w:val="004C03B3"/>
    <w:rsid w:val="004C5362"/>
    <w:rsid w:val="004F145D"/>
    <w:rsid w:val="00503FEC"/>
    <w:rsid w:val="00563C80"/>
    <w:rsid w:val="005F2E5B"/>
    <w:rsid w:val="005F431C"/>
    <w:rsid w:val="005F5CF7"/>
    <w:rsid w:val="00601984"/>
    <w:rsid w:val="006165FB"/>
    <w:rsid w:val="00621848"/>
    <w:rsid w:val="00637607"/>
    <w:rsid w:val="006621DF"/>
    <w:rsid w:val="00680C8D"/>
    <w:rsid w:val="006D4731"/>
    <w:rsid w:val="00712983"/>
    <w:rsid w:val="00716C8B"/>
    <w:rsid w:val="00717E0E"/>
    <w:rsid w:val="00723439"/>
    <w:rsid w:val="00742818"/>
    <w:rsid w:val="00752496"/>
    <w:rsid w:val="00775162"/>
    <w:rsid w:val="00777FEF"/>
    <w:rsid w:val="0079119C"/>
    <w:rsid w:val="007E3748"/>
    <w:rsid w:val="00800A4E"/>
    <w:rsid w:val="008356A2"/>
    <w:rsid w:val="00840672"/>
    <w:rsid w:val="008763EB"/>
    <w:rsid w:val="00886101"/>
    <w:rsid w:val="008B6A5B"/>
    <w:rsid w:val="008F2524"/>
    <w:rsid w:val="00903939"/>
    <w:rsid w:val="009C1579"/>
    <w:rsid w:val="009D199F"/>
    <w:rsid w:val="00A1009C"/>
    <w:rsid w:val="00A10755"/>
    <w:rsid w:val="00A15536"/>
    <w:rsid w:val="00A17C60"/>
    <w:rsid w:val="00A41CF5"/>
    <w:rsid w:val="00A50882"/>
    <w:rsid w:val="00A73CFC"/>
    <w:rsid w:val="00B0167E"/>
    <w:rsid w:val="00B3000F"/>
    <w:rsid w:val="00B30E52"/>
    <w:rsid w:val="00B63B32"/>
    <w:rsid w:val="00BA6C91"/>
    <w:rsid w:val="00BD22CA"/>
    <w:rsid w:val="00BF50A0"/>
    <w:rsid w:val="00BF76E0"/>
    <w:rsid w:val="00C35107"/>
    <w:rsid w:val="00C442EC"/>
    <w:rsid w:val="00C60D0E"/>
    <w:rsid w:val="00C8567E"/>
    <w:rsid w:val="00CA7A50"/>
    <w:rsid w:val="00CB05E6"/>
    <w:rsid w:val="00CB58C9"/>
    <w:rsid w:val="00CE63BA"/>
    <w:rsid w:val="00CF0B1B"/>
    <w:rsid w:val="00D03EEF"/>
    <w:rsid w:val="00D74FB8"/>
    <w:rsid w:val="00D776AF"/>
    <w:rsid w:val="00D85F4B"/>
    <w:rsid w:val="00DA2C3D"/>
    <w:rsid w:val="00DC0C2F"/>
    <w:rsid w:val="00DE5D7C"/>
    <w:rsid w:val="00E04E11"/>
    <w:rsid w:val="00E053A7"/>
    <w:rsid w:val="00E11379"/>
    <w:rsid w:val="00E42278"/>
    <w:rsid w:val="00E54B4A"/>
    <w:rsid w:val="00E720ED"/>
    <w:rsid w:val="00E751FB"/>
    <w:rsid w:val="00EE7AC2"/>
    <w:rsid w:val="00F07C79"/>
    <w:rsid w:val="00F27316"/>
    <w:rsid w:val="00F52142"/>
    <w:rsid w:val="00F61128"/>
    <w:rsid w:val="00F7510F"/>
    <w:rsid w:val="00F86B84"/>
    <w:rsid w:val="00FB2635"/>
    <w:rsid w:val="00FF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A41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417D"/>
    <w:rPr>
      <w:b/>
      <w:bCs/>
      <w:i/>
      <w:iCs/>
      <w:color w:val="4F81BD" w:themeColor="accent1"/>
    </w:rPr>
  </w:style>
  <w:style w:type="paragraph" w:customStyle="1" w:styleId="BodyText-Professional">
    <w:name w:val="Body Text - Professional"/>
    <w:basedOn w:val="Normal"/>
    <w:rsid w:val="002A417D"/>
    <w:pPr>
      <w:spacing w:after="120" w:line="280" w:lineRule="exact"/>
    </w:pPr>
    <w:rPr>
      <w:rFonts w:ascii="Arial" w:eastAsiaTheme="minorEastAsia" w:hAnsi="Arial" w:cs="Times New Roman"/>
      <w:sz w:val="24"/>
      <w:szCs w:val="24"/>
    </w:rPr>
  </w:style>
  <w:style w:type="paragraph" w:customStyle="1" w:styleId="Heading2-Professional">
    <w:name w:val="Heading 2 - Professional"/>
    <w:basedOn w:val="Normal"/>
    <w:rsid w:val="002A417D"/>
    <w:pPr>
      <w:spacing w:before="120" w:after="60" w:line="320" w:lineRule="exact"/>
    </w:pPr>
    <w:rPr>
      <w:rFonts w:ascii="Arial Black" w:eastAsiaTheme="minorEastAsia" w:hAnsi="Arial Black" w:cs="Times New Roman"/>
      <w:sz w:val="24"/>
      <w:szCs w:val="24"/>
    </w:rPr>
  </w:style>
  <w:style w:type="paragraph" w:customStyle="1" w:styleId="Subtitle-Professional">
    <w:name w:val="Subtitle - Professional"/>
    <w:basedOn w:val="Normal"/>
    <w:rsid w:val="002A417D"/>
    <w:pPr>
      <w:spacing w:after="120" w:line="280" w:lineRule="exact"/>
    </w:pPr>
    <w:rPr>
      <w:rFonts w:ascii="Arial" w:eastAsiaTheme="minorEastAsia" w:hAnsi="Arial" w:cs="Times New Roman"/>
      <w:i/>
      <w:sz w:val="24"/>
      <w:szCs w:val="24"/>
    </w:rPr>
  </w:style>
  <w:style w:type="paragraph" w:styleId="ListParagraph">
    <w:name w:val="List Paragraph"/>
    <w:basedOn w:val="Normal"/>
    <w:uiPriority w:val="34"/>
    <w:qFormat/>
    <w:rsid w:val="002A417D"/>
    <w:pPr>
      <w:spacing w:after="0" w:line="240" w:lineRule="auto"/>
      <w:ind w:left="720"/>
      <w:contextualSpacing/>
    </w:pPr>
    <w:rPr>
      <w:rFonts w:eastAsiaTheme="minorEastAsia" w:cs="Times New Roman"/>
      <w:sz w:val="24"/>
      <w:szCs w:val="24"/>
    </w:rPr>
  </w:style>
  <w:style w:type="paragraph" w:customStyle="1" w:styleId="Picture-Professional">
    <w:name w:val="Picture - Professional"/>
    <w:basedOn w:val="BodyText-Professional"/>
    <w:rsid w:val="00E54B4A"/>
    <w:pPr>
      <w:spacing w:before="120" w:line="240" w:lineRule="auto"/>
    </w:pPr>
  </w:style>
  <w:style w:type="paragraph" w:styleId="Header">
    <w:name w:val="header"/>
    <w:basedOn w:val="Normal"/>
    <w:link w:val="HeaderChar"/>
    <w:uiPriority w:val="99"/>
    <w:unhideWhenUsed/>
    <w:rsid w:val="0077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FEF"/>
  </w:style>
  <w:style w:type="paragraph" w:styleId="Footer">
    <w:name w:val="footer"/>
    <w:basedOn w:val="Normal"/>
    <w:link w:val="FooterChar"/>
    <w:uiPriority w:val="99"/>
    <w:unhideWhenUsed/>
    <w:rsid w:val="0077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FEF"/>
  </w:style>
  <w:style w:type="paragraph" w:customStyle="1" w:styleId="Masthead">
    <w:name w:val="Masthead"/>
    <w:rsid w:val="00FB2635"/>
    <w:pPr>
      <w:spacing w:after="0" w:line="240" w:lineRule="auto"/>
    </w:pPr>
    <w:rPr>
      <w:rFonts w:ascii="Garamond" w:eastAsia="Times New Roman" w:hAnsi="Garamond" w:cs="Times New Roman"/>
      <w:kern w:val="28"/>
      <w:sz w:val="72"/>
      <w:szCs w:val="72"/>
    </w:rPr>
  </w:style>
  <w:style w:type="character" w:styleId="IntenseReference">
    <w:name w:val="Intense Reference"/>
    <w:basedOn w:val="DefaultParagraphFont"/>
    <w:uiPriority w:val="32"/>
    <w:qFormat/>
    <w:rsid w:val="00717E0E"/>
    <w:rPr>
      <w:b/>
      <w:bCs/>
      <w:smallCaps/>
      <w:color w:val="C0504D" w:themeColor="accent2"/>
      <w:spacing w:val="5"/>
      <w:u w:val="single"/>
    </w:rPr>
  </w:style>
  <w:style w:type="paragraph" w:styleId="NoSpacing">
    <w:name w:val="No Spacing"/>
    <w:uiPriority w:val="1"/>
    <w:qFormat/>
    <w:rsid w:val="000F777D"/>
    <w:pPr>
      <w:spacing w:after="0" w:line="240" w:lineRule="auto"/>
    </w:pPr>
  </w:style>
  <w:style w:type="character" w:styleId="IntenseEmphasis">
    <w:name w:val="Intense Emphasis"/>
    <w:basedOn w:val="DefaultParagraphFont"/>
    <w:uiPriority w:val="21"/>
    <w:qFormat/>
    <w:rsid w:val="004B4EB8"/>
    <w:rPr>
      <w:b/>
      <w:bCs/>
      <w:i/>
      <w:iCs/>
      <w:color w:val="4F81BD" w:themeColor="accent1"/>
    </w:rPr>
  </w:style>
  <w:style w:type="paragraph" w:styleId="Quote">
    <w:name w:val="Quote"/>
    <w:basedOn w:val="Normal"/>
    <w:next w:val="Normal"/>
    <w:link w:val="QuoteChar"/>
    <w:uiPriority w:val="29"/>
    <w:qFormat/>
    <w:rsid w:val="004B4EB8"/>
    <w:rPr>
      <w:i/>
      <w:iCs/>
      <w:color w:val="000000" w:themeColor="text1"/>
    </w:rPr>
  </w:style>
  <w:style w:type="character" w:customStyle="1" w:styleId="QuoteChar">
    <w:name w:val="Quote Char"/>
    <w:basedOn w:val="DefaultParagraphFont"/>
    <w:link w:val="Quote"/>
    <w:uiPriority w:val="29"/>
    <w:rsid w:val="004B4EB8"/>
    <w:rPr>
      <w:i/>
      <w:iCs/>
      <w:color w:val="000000" w:themeColor="text1"/>
    </w:rPr>
  </w:style>
  <w:style w:type="character" w:styleId="Hyperlink">
    <w:name w:val="Hyperlink"/>
    <w:basedOn w:val="DefaultParagraphFont"/>
    <w:uiPriority w:val="99"/>
    <w:unhideWhenUsed/>
    <w:rsid w:val="008861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A41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417D"/>
    <w:rPr>
      <w:b/>
      <w:bCs/>
      <w:i/>
      <w:iCs/>
      <w:color w:val="4F81BD" w:themeColor="accent1"/>
    </w:rPr>
  </w:style>
  <w:style w:type="paragraph" w:customStyle="1" w:styleId="BodyText-Professional">
    <w:name w:val="Body Text - Professional"/>
    <w:basedOn w:val="Normal"/>
    <w:rsid w:val="002A417D"/>
    <w:pPr>
      <w:spacing w:after="120" w:line="280" w:lineRule="exact"/>
    </w:pPr>
    <w:rPr>
      <w:rFonts w:ascii="Arial" w:eastAsiaTheme="minorEastAsia" w:hAnsi="Arial" w:cs="Times New Roman"/>
      <w:sz w:val="24"/>
      <w:szCs w:val="24"/>
    </w:rPr>
  </w:style>
  <w:style w:type="paragraph" w:customStyle="1" w:styleId="Heading2-Professional">
    <w:name w:val="Heading 2 - Professional"/>
    <w:basedOn w:val="Normal"/>
    <w:rsid w:val="002A417D"/>
    <w:pPr>
      <w:spacing w:before="120" w:after="60" w:line="320" w:lineRule="exact"/>
    </w:pPr>
    <w:rPr>
      <w:rFonts w:ascii="Arial Black" w:eastAsiaTheme="minorEastAsia" w:hAnsi="Arial Black" w:cs="Times New Roman"/>
      <w:sz w:val="24"/>
      <w:szCs w:val="24"/>
    </w:rPr>
  </w:style>
  <w:style w:type="paragraph" w:customStyle="1" w:styleId="Subtitle-Professional">
    <w:name w:val="Subtitle - Professional"/>
    <w:basedOn w:val="Normal"/>
    <w:rsid w:val="002A417D"/>
    <w:pPr>
      <w:spacing w:after="120" w:line="280" w:lineRule="exact"/>
    </w:pPr>
    <w:rPr>
      <w:rFonts w:ascii="Arial" w:eastAsiaTheme="minorEastAsia" w:hAnsi="Arial" w:cs="Times New Roman"/>
      <w:i/>
      <w:sz w:val="24"/>
      <w:szCs w:val="24"/>
    </w:rPr>
  </w:style>
  <w:style w:type="paragraph" w:styleId="ListParagraph">
    <w:name w:val="List Paragraph"/>
    <w:basedOn w:val="Normal"/>
    <w:uiPriority w:val="34"/>
    <w:qFormat/>
    <w:rsid w:val="002A417D"/>
    <w:pPr>
      <w:spacing w:after="0" w:line="240" w:lineRule="auto"/>
      <w:ind w:left="720"/>
      <w:contextualSpacing/>
    </w:pPr>
    <w:rPr>
      <w:rFonts w:eastAsiaTheme="minorEastAsia" w:cs="Times New Roman"/>
      <w:sz w:val="24"/>
      <w:szCs w:val="24"/>
    </w:rPr>
  </w:style>
  <w:style w:type="paragraph" w:customStyle="1" w:styleId="Picture-Professional">
    <w:name w:val="Picture - Professional"/>
    <w:basedOn w:val="BodyText-Professional"/>
    <w:rsid w:val="00E54B4A"/>
    <w:pPr>
      <w:spacing w:before="120" w:line="240" w:lineRule="auto"/>
    </w:pPr>
  </w:style>
  <w:style w:type="paragraph" w:styleId="Header">
    <w:name w:val="header"/>
    <w:basedOn w:val="Normal"/>
    <w:link w:val="HeaderChar"/>
    <w:uiPriority w:val="99"/>
    <w:unhideWhenUsed/>
    <w:rsid w:val="0077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FEF"/>
  </w:style>
  <w:style w:type="paragraph" w:styleId="Footer">
    <w:name w:val="footer"/>
    <w:basedOn w:val="Normal"/>
    <w:link w:val="FooterChar"/>
    <w:uiPriority w:val="99"/>
    <w:unhideWhenUsed/>
    <w:rsid w:val="0077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FEF"/>
  </w:style>
  <w:style w:type="paragraph" w:customStyle="1" w:styleId="Masthead">
    <w:name w:val="Masthead"/>
    <w:rsid w:val="00FB2635"/>
    <w:pPr>
      <w:spacing w:after="0" w:line="240" w:lineRule="auto"/>
    </w:pPr>
    <w:rPr>
      <w:rFonts w:ascii="Garamond" w:eastAsia="Times New Roman" w:hAnsi="Garamond" w:cs="Times New Roman"/>
      <w:kern w:val="28"/>
      <w:sz w:val="72"/>
      <w:szCs w:val="72"/>
    </w:rPr>
  </w:style>
  <w:style w:type="character" w:styleId="IntenseReference">
    <w:name w:val="Intense Reference"/>
    <w:basedOn w:val="DefaultParagraphFont"/>
    <w:uiPriority w:val="32"/>
    <w:qFormat/>
    <w:rsid w:val="00717E0E"/>
    <w:rPr>
      <w:b/>
      <w:bCs/>
      <w:smallCaps/>
      <w:color w:val="C0504D" w:themeColor="accent2"/>
      <w:spacing w:val="5"/>
      <w:u w:val="single"/>
    </w:rPr>
  </w:style>
  <w:style w:type="paragraph" w:styleId="NoSpacing">
    <w:name w:val="No Spacing"/>
    <w:uiPriority w:val="1"/>
    <w:qFormat/>
    <w:rsid w:val="000F777D"/>
    <w:pPr>
      <w:spacing w:after="0" w:line="240" w:lineRule="auto"/>
    </w:pPr>
  </w:style>
  <w:style w:type="character" w:styleId="IntenseEmphasis">
    <w:name w:val="Intense Emphasis"/>
    <w:basedOn w:val="DefaultParagraphFont"/>
    <w:uiPriority w:val="21"/>
    <w:qFormat/>
    <w:rsid w:val="004B4EB8"/>
    <w:rPr>
      <w:b/>
      <w:bCs/>
      <w:i/>
      <w:iCs/>
      <w:color w:val="4F81BD" w:themeColor="accent1"/>
    </w:rPr>
  </w:style>
  <w:style w:type="paragraph" w:styleId="Quote">
    <w:name w:val="Quote"/>
    <w:basedOn w:val="Normal"/>
    <w:next w:val="Normal"/>
    <w:link w:val="QuoteChar"/>
    <w:uiPriority w:val="29"/>
    <w:qFormat/>
    <w:rsid w:val="004B4EB8"/>
    <w:rPr>
      <w:i/>
      <w:iCs/>
      <w:color w:val="000000" w:themeColor="text1"/>
    </w:rPr>
  </w:style>
  <w:style w:type="character" w:customStyle="1" w:styleId="QuoteChar">
    <w:name w:val="Quote Char"/>
    <w:basedOn w:val="DefaultParagraphFont"/>
    <w:link w:val="Quote"/>
    <w:uiPriority w:val="29"/>
    <w:rsid w:val="004B4EB8"/>
    <w:rPr>
      <w:i/>
      <w:iCs/>
      <w:color w:val="000000" w:themeColor="text1"/>
    </w:rPr>
  </w:style>
  <w:style w:type="character" w:styleId="Hyperlink">
    <w:name w:val="Hyperlink"/>
    <w:basedOn w:val="DefaultParagraphFont"/>
    <w:uiPriority w:val="99"/>
    <w:unhideWhenUsed/>
    <w:rsid w:val="008861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ages.search.yahoo.com/images/view;_ylt=Awr9DWvt8pRcVz4A.jY2nIlQ;_ylu=X3oDMTIzbWJkcmNwBHNlYwNzcgRzbGsDaW1nBG9pZAMxN2IzMTc0ZmJiZmIwNGIyNGUyZWJmNzQzZmFmZDQ0ZgRncG9zAzMyBGl0A2Jpbmc-?back=https://images.search.yahoo.com/yhs/search?p%3Dfree%2Bclip%2Bart%2Bpicture%2Bgrab%2Bbars%2Bin%2Bbathroom%2Belderly%2Bperson%26n%3D60%26ei%3DUTF-8%26fr%3Dyhs-pty-pty_email%26fr2%3Dsb-top-images.search.yahoo.com%26hsimp%3Dyhs-pty_email%26hspart%3Dpty%26tab%3Dorganic%26ri%3D32&amp;w=236&amp;h=243&amp;imgurl=s-media-cache-ak0.pinimg.com/236x/02/fa/f3/02faf3129cd50a466ceb45fd949e7f38.jpg&amp;rurl=http://www.pinterest.com/spersrud/home-modifications-for-children-elderly-and-disabl&amp;size=+8.4KB&amp;name=Home+Modifications+for:+Children,+%3cb%3eElderly%3c/b%3e,+and+Disabled+on+Pinterest+|+Wheelchair+Ramp+...&amp;p=free+clip+art+picture+grab+bars+in+bathroom+elderly+person&amp;oid=17b3174fbbfb04b24e2ebf743fafd44f&amp;fr2=sb-top-images.search.yahoo.com&amp;fr=yhs-pty-pty_email&amp;tt=Home+Modifications+for:+Children,+%3cb%3eElderly%3c/b%3e,+and+Disabled+on+Pinterest+|+Wheelchair+Ramp+...&amp;b=0&amp;ni=128&amp;no=32&amp;ts=&amp;tab=organic&amp;sigr=12kgvjlr0&amp;sigb=16u62hj6q&amp;sigi=12fk96reb&amp;sigt=1316qqjo8&amp;sign=1316qqjo8&amp;.crumb=NwkosTY9vGs&amp;fr=yhs-pty-pty_email&amp;fr2=sb-top-images.search.yahoo.com&amp;hsimp=yhs-pty_email&amp;hspart=pty" TargetMode="External"/><Relationship Id="rId18" Type="http://schemas.openxmlformats.org/officeDocument/2006/relationships/hyperlink" Target="mailto:sheila.nolte@ct.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images.search.yahoo.com/images/view;_ylt=AwrExdnX6ZRcCywAhYM2nIlQ;_ylu=X3oDMTIzMjRscHBkBHNlYwNzcgRzbGsDaW1nBG9pZAM3NDdmZTZiNzcxNDY1OTUwZGI2YWEzYTRkZjdjMGM5NgRncG9zAzE2BGl0A2Jpbmc-?back=https://images.search.yahoo.com/yhs/search?p%3Dfree%2Bclip%2Bart%2Broad%2Bto%2Bsuccess%26n%3D60%26ei%3DUTF-8%26fr%3Dyhs-pty-pty_email%26fr2%3Dsa-gp-images.search.yahoo.com%26hsimp%3Dyhs-pty_email%26hspart%3Dpty%26tab%3Dorganic%26ri%3D16&amp;w=170&amp;h=128&amp;imgurl=photos.gograph.com/thumbs/CSP/CSP684/k6844323.jpg&amp;rurl=https://www.gograph.com/vector-clip-art/success.html&amp;size=+4.2KB&amp;name=%3cb%3eSuccess%3c/b%3e+%3cb%3eClip%3c/b%3e+%3cb%3eArt%3c/b%3e+-+Royalty+%3cb%3eFree%3c/b%3e+-+GoGraph&amp;p=free+clip+art+road+to+success&amp;oid=747fe6b771465950db6aa3a4df7c0c96&amp;fr2=sa-gp-images.search.yahoo.com&amp;fr=yhs-pty-pty_email&amp;tt=%3cb%3eSuccess%3c/b%3e+%3cb%3eClip%3c/b%3e+%3cb%3eArt%3c/b%3e+-+Royalty+%3cb%3eFree%3c/b%3e+-+GoGraph&amp;b=0&amp;ni=160&amp;no=16&amp;ts=&amp;tab=organic&amp;sigr=11kvj4l3s&amp;sigb=1604eofi3&amp;sigi=11h9omgn9&amp;sigt=125bacnhu&amp;sign=125bacnhu&amp;.crumb=NwkosTY9vGs&amp;fr=yhs-pty-pty_email&amp;fr2=sa-gp-images.search.yahoo.com&amp;hsimp=yhs-pty_email&amp;hspart=pty" TargetMode="External"/><Relationship Id="rId10" Type="http://schemas.openxmlformats.org/officeDocument/2006/relationships/image" Target="media/image10.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Aparajita" panose="020B0604020202020204" pitchFamily="34" charset="0"/>
                <a:cs typeface="Aparajita" panose="020B0604020202020204" pitchFamily="34" charset="0"/>
              </a:rPr>
              <a:t>Critical Incidents Reported</a:t>
            </a:r>
            <a:r>
              <a:rPr lang="en-US" sz="1400" baseline="0">
                <a:latin typeface="Aparajita" panose="020B0604020202020204" pitchFamily="34" charset="0"/>
                <a:cs typeface="Aparajita" panose="020B0604020202020204" pitchFamily="34" charset="0"/>
              </a:rPr>
              <a:t> within </a:t>
            </a:r>
          </a:p>
          <a:p>
            <a:pPr>
              <a:defRPr/>
            </a:pPr>
            <a:r>
              <a:rPr lang="en-US" sz="1400" baseline="0">
                <a:latin typeface="Aparajita" panose="020B0604020202020204" pitchFamily="34" charset="0"/>
                <a:cs typeface="Aparajita" panose="020B0604020202020204" pitchFamily="34" charset="0"/>
              </a:rPr>
              <a:t>2 business days</a:t>
            </a:r>
          </a:p>
          <a:p>
            <a:pPr>
              <a:defRPr/>
            </a:pPr>
            <a:r>
              <a:rPr lang="en-US" sz="1400" baseline="0">
                <a:latin typeface="Aparajita" panose="020B0604020202020204" pitchFamily="34" charset="0"/>
                <a:cs typeface="Aparajita" panose="020B0604020202020204" pitchFamily="34" charset="0"/>
              </a:rPr>
              <a:t>2/19  overall ave. 82%  </a:t>
            </a:r>
          </a:p>
          <a:p>
            <a:pPr>
              <a:defRPr/>
            </a:pPr>
            <a:r>
              <a:rPr lang="en-US" sz="1400">
                <a:latin typeface="Aparajita" panose="020B0604020202020204" pitchFamily="34" charset="0"/>
                <a:cs typeface="Aparajita" panose="020B0604020202020204" pitchFamily="34" charset="0"/>
              </a:rPr>
              <a:t>1/19 overall ave.</a:t>
            </a:r>
            <a:r>
              <a:rPr lang="en-US" sz="1400" baseline="0">
                <a:latin typeface="Aparajita" panose="020B0604020202020204" pitchFamily="34" charset="0"/>
                <a:cs typeface="Aparajita" panose="020B0604020202020204" pitchFamily="34" charset="0"/>
              </a:rPr>
              <a:t> 87%</a:t>
            </a:r>
            <a:endParaRPr lang="en-US" sz="1400">
              <a:latin typeface="Aparajita" panose="020B0604020202020204" pitchFamily="34" charset="0"/>
              <a:cs typeface="Aparajita" panose="020B0604020202020204" pitchFamily="34" charset="0"/>
            </a:endParaRPr>
          </a:p>
        </c:rich>
      </c:tx>
      <c:layout/>
      <c:overlay val="0"/>
    </c:title>
    <c:autoTitleDeleted val="0"/>
    <c:plotArea>
      <c:layout>
        <c:manualLayout>
          <c:layoutTarget val="inner"/>
          <c:xMode val="edge"/>
          <c:yMode val="edge"/>
          <c:x val="0.15133264591926007"/>
          <c:y val="0.37849715760155878"/>
          <c:w val="0.80501656042994629"/>
          <c:h val="0.51717990358557164"/>
        </c:manualLayout>
      </c:layout>
      <c:barChart>
        <c:barDir val="col"/>
        <c:grouping val="clustered"/>
        <c:varyColors val="0"/>
        <c:ser>
          <c:idx val="0"/>
          <c:order val="0"/>
          <c:invertIfNegative val="0"/>
          <c:cat>
            <c:strRef>
              <c:f>Sheet1!$F$4:$F$9</c:f>
              <c:strCache>
                <c:ptCount val="6"/>
                <c:pt idx="0">
                  <c:v>A</c:v>
                </c:pt>
                <c:pt idx="1">
                  <c:v>B</c:v>
                </c:pt>
                <c:pt idx="2">
                  <c:v>C</c:v>
                </c:pt>
                <c:pt idx="3">
                  <c:v>D</c:v>
                </c:pt>
                <c:pt idx="4">
                  <c:v>E</c:v>
                </c:pt>
                <c:pt idx="5">
                  <c:v>F</c:v>
                </c:pt>
              </c:strCache>
            </c:strRef>
          </c:cat>
          <c:val>
            <c:numRef>
              <c:f>Sheet1!$G$4:$G$9</c:f>
              <c:numCache>
                <c:formatCode>0%</c:formatCode>
                <c:ptCount val="6"/>
                <c:pt idx="0">
                  <c:v>0.89</c:v>
                </c:pt>
                <c:pt idx="1">
                  <c:v>0.57999999999999996</c:v>
                </c:pt>
                <c:pt idx="2">
                  <c:v>0.65</c:v>
                </c:pt>
                <c:pt idx="3">
                  <c:v>0.73</c:v>
                </c:pt>
                <c:pt idx="4">
                  <c:v>0.97</c:v>
                </c:pt>
                <c:pt idx="5">
                  <c:v>1</c:v>
                </c:pt>
              </c:numCache>
            </c:numRef>
          </c:val>
        </c:ser>
        <c:dLbls>
          <c:dLblPos val="outEnd"/>
          <c:showLegendKey val="0"/>
          <c:showVal val="1"/>
          <c:showCatName val="0"/>
          <c:showSerName val="0"/>
          <c:showPercent val="0"/>
          <c:showBubbleSize val="0"/>
        </c:dLbls>
        <c:gapWidth val="150"/>
        <c:axId val="135211264"/>
        <c:axId val="135237632"/>
      </c:barChart>
      <c:catAx>
        <c:axId val="135211264"/>
        <c:scaling>
          <c:orientation val="minMax"/>
        </c:scaling>
        <c:delete val="0"/>
        <c:axPos val="b"/>
        <c:majorTickMark val="out"/>
        <c:minorTickMark val="none"/>
        <c:tickLblPos val="nextTo"/>
        <c:crossAx val="135237632"/>
        <c:crosses val="autoZero"/>
        <c:auto val="1"/>
        <c:lblAlgn val="ctr"/>
        <c:lblOffset val="100"/>
        <c:noMultiLvlLbl val="0"/>
      </c:catAx>
      <c:valAx>
        <c:axId val="135237632"/>
        <c:scaling>
          <c:orientation val="minMax"/>
        </c:scaling>
        <c:delete val="0"/>
        <c:axPos val="l"/>
        <c:majorGridlines/>
        <c:numFmt formatCode="0%" sourceLinked="1"/>
        <c:majorTickMark val="out"/>
        <c:minorTickMark val="none"/>
        <c:tickLblPos val="nextTo"/>
        <c:crossAx val="13521126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0.33631</cdr:x>
      <cdr:y>0.4782</cdr:y>
    </cdr:from>
    <cdr:to>
      <cdr:x>0.35059</cdr:x>
      <cdr:y>0.56278</cdr:y>
    </cdr:to>
    <cdr:sp macro="" textlink="">
      <cdr:nvSpPr>
        <cdr:cNvPr id="2" name="Down Arrow 1"/>
        <cdr:cNvSpPr/>
      </cdr:nvSpPr>
      <cdr:spPr>
        <a:xfrm xmlns:a="http://schemas.openxmlformats.org/drawingml/2006/main">
          <a:off x="1076325" y="1400175"/>
          <a:ext cx="45719" cy="247650"/>
        </a:xfrm>
        <a:prstGeom xmlns:a="http://schemas.openxmlformats.org/drawingml/2006/main" prst="downArrow">
          <a:avLst/>
        </a:prstGeom>
        <a:solidFill xmlns:a="http://schemas.openxmlformats.org/drawingml/2006/main">
          <a:srgbClr val="FF0000"/>
        </a:solidFill>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0.48214</cdr:x>
      <cdr:y>0.4717</cdr:y>
    </cdr:from>
    <cdr:to>
      <cdr:x>0.49643</cdr:x>
      <cdr:y>0.52049</cdr:y>
    </cdr:to>
    <cdr:sp macro="" textlink="">
      <cdr:nvSpPr>
        <cdr:cNvPr id="4" name="Down Arrow 3"/>
        <cdr:cNvSpPr/>
      </cdr:nvSpPr>
      <cdr:spPr>
        <a:xfrm xmlns:a="http://schemas.openxmlformats.org/drawingml/2006/main">
          <a:off x="1543050" y="1381125"/>
          <a:ext cx="45719" cy="142875"/>
        </a:xfrm>
        <a:prstGeom xmlns:a="http://schemas.openxmlformats.org/drawingml/2006/main" prst="downArrow">
          <a:avLst/>
        </a:prstGeom>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0.60417</cdr:x>
      <cdr:y>0.44567</cdr:y>
    </cdr:from>
    <cdr:to>
      <cdr:x>0.61845</cdr:x>
      <cdr:y>0.48471</cdr:y>
    </cdr:to>
    <cdr:sp macro="" textlink="">
      <cdr:nvSpPr>
        <cdr:cNvPr id="5" name="Down Arrow 4"/>
        <cdr:cNvSpPr/>
      </cdr:nvSpPr>
      <cdr:spPr>
        <a:xfrm xmlns:a="http://schemas.openxmlformats.org/drawingml/2006/main">
          <a:off x="1933575" y="1304925"/>
          <a:ext cx="45719" cy="114300"/>
        </a:xfrm>
        <a:prstGeom xmlns:a="http://schemas.openxmlformats.org/drawingml/2006/main" prst="downArrow">
          <a:avLst/>
        </a:prstGeom>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85839-277E-4D59-AEB8-CA770914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Nolte, Sheila M.</dc:creator>
  <cp:lastModifiedBy>Nolte, Sheila M.</cp:lastModifiedBy>
  <cp:revision>2</cp:revision>
  <cp:lastPrinted>2019-03-25T19:48:00Z</cp:lastPrinted>
  <dcterms:created xsi:type="dcterms:W3CDTF">2019-04-16T19:46:00Z</dcterms:created>
  <dcterms:modified xsi:type="dcterms:W3CDTF">2019-04-16T19:46:00Z</dcterms:modified>
</cp:coreProperties>
</file>