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5A794A2E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6199A062" w14:textId="77777777" w:rsidR="007C22A7" w:rsidRDefault="007C22A7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</w:p>
    <w:p w14:paraId="22ADBA1B" w14:textId="3952FAFF" w:rsidR="002A4A83" w:rsidRPr="007C22A7" w:rsidRDefault="002A4A83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2A4A83">
        <w:rPr>
          <w:rFonts w:ascii="Helvetica" w:hAnsi="Helvetica" w:cs="Helvetica"/>
          <w:spacing w:val="1"/>
          <w:sz w:val="20"/>
          <w:szCs w:val="20"/>
        </w:rPr>
        <w:t>If Respondent</w:t>
      </w:r>
      <w:r>
        <w:rPr>
          <w:rFonts w:ascii="Helvetica" w:hAnsi="Helvetica" w:cs="Helvetica"/>
          <w:spacing w:val="1"/>
          <w:sz w:val="20"/>
          <w:szCs w:val="20"/>
        </w:rPr>
        <w:t xml:space="preserve"> is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 consultant for the </w:t>
      </w:r>
      <w:r w:rsidR="00064D7B">
        <w:rPr>
          <w:rFonts w:ascii="Helvetica" w:hAnsi="Helvetica" w:cs="Helvetica"/>
          <w:spacing w:val="1"/>
          <w:sz w:val="20"/>
          <w:szCs w:val="20"/>
        </w:rPr>
        <w:t>Connecticut Retirement P</w:t>
      </w:r>
      <w:r w:rsidR="00E82F3D">
        <w:rPr>
          <w:rFonts w:ascii="Helvetica" w:hAnsi="Helvetica" w:cs="Helvetica"/>
          <w:spacing w:val="1"/>
          <w:sz w:val="20"/>
          <w:szCs w:val="20"/>
        </w:rPr>
        <w:t>lans</w:t>
      </w:r>
      <w:r w:rsidR="00064D7B">
        <w:rPr>
          <w:rFonts w:ascii="Helvetica" w:hAnsi="Helvetica" w:cs="Helvetica"/>
          <w:spacing w:val="1"/>
          <w:sz w:val="20"/>
          <w:szCs w:val="20"/>
        </w:rPr>
        <w:t xml:space="preserve"> and Trust Funds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 (</w:t>
      </w:r>
      <w:r w:rsidR="00484249">
        <w:rPr>
          <w:rFonts w:ascii="Helvetica" w:hAnsi="Helvetica" w:cs="Helvetica"/>
          <w:spacing w:val="1"/>
          <w:sz w:val="20"/>
          <w:szCs w:val="20"/>
        </w:rPr>
        <w:t>“</w:t>
      </w:r>
      <w:r w:rsidR="00E82F3D">
        <w:rPr>
          <w:rFonts w:ascii="Helvetica" w:hAnsi="Helvetica" w:cs="Helvetica"/>
          <w:spacing w:val="1"/>
          <w:sz w:val="20"/>
          <w:szCs w:val="20"/>
        </w:rPr>
        <w:t>CRPTF</w:t>
      </w:r>
      <w:r w:rsidR="00484249">
        <w:rPr>
          <w:rFonts w:ascii="Helvetica" w:hAnsi="Helvetica" w:cs="Helvetica"/>
          <w:spacing w:val="1"/>
          <w:sz w:val="20"/>
          <w:szCs w:val="20"/>
        </w:rPr>
        <w:t>”</w:t>
      </w:r>
      <w:r w:rsidR="00E82F3D">
        <w:rPr>
          <w:rFonts w:ascii="Helvetica" w:hAnsi="Helvetica" w:cs="Helvetica"/>
          <w:spacing w:val="1"/>
          <w:sz w:val="20"/>
          <w:szCs w:val="20"/>
        </w:rPr>
        <w:t>)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, </w:t>
      </w:r>
      <w:r w:rsidR="00E82F3D">
        <w:rPr>
          <w:rFonts w:ascii="Helvetica" w:hAnsi="Helvetica" w:cs="Helvetica"/>
          <w:spacing w:val="1"/>
          <w:sz w:val="20"/>
          <w:szCs w:val="20"/>
        </w:rPr>
        <w:t xml:space="preserve">you must </w:t>
      </w:r>
      <w:r w:rsidR="00253853">
        <w:rPr>
          <w:rFonts w:ascii="Helvetica" w:hAnsi="Helvetica" w:cs="Helvetica"/>
          <w:spacing w:val="1"/>
          <w:sz w:val="20"/>
          <w:szCs w:val="20"/>
        </w:rPr>
        <w:t xml:space="preserve">also complete 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>Attachment 4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B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>–</w:t>
      </w:r>
      <w:r w:rsidR="00253853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Conflict of Interest - </w:t>
      </w:r>
      <w:r w:rsidR="007C2865">
        <w:rPr>
          <w:rFonts w:ascii="Helvetica" w:hAnsi="Helvetica" w:cs="Helvetica"/>
          <w:b/>
          <w:bCs/>
          <w:spacing w:val="1"/>
          <w:sz w:val="20"/>
          <w:szCs w:val="20"/>
        </w:rPr>
        <w:t>CRPTF</w:t>
      </w:r>
      <w:r w:rsidR="006747F2" w:rsidRPr="006747F2">
        <w:rPr>
          <w:rFonts w:ascii="Helvetica" w:hAnsi="Helvetica" w:cs="Helvetica"/>
          <w:b/>
          <w:bCs/>
          <w:spacing w:val="1"/>
          <w:sz w:val="20"/>
          <w:szCs w:val="20"/>
        </w:rPr>
        <w:t xml:space="preserve"> Consultant </w:t>
      </w:r>
      <w:r w:rsidR="00535EDE">
        <w:rPr>
          <w:rFonts w:ascii="Helvetica" w:hAnsi="Helvetica" w:cs="Helvetica"/>
          <w:b/>
          <w:bCs/>
          <w:spacing w:val="1"/>
          <w:sz w:val="20"/>
          <w:szCs w:val="20"/>
        </w:rPr>
        <w:t>Addendum</w:t>
      </w:r>
      <w:r w:rsidR="00064D7B">
        <w:rPr>
          <w:rFonts w:ascii="Helvetica" w:hAnsi="Helvetica" w:cs="Helvetica"/>
          <w:b/>
          <w:bCs/>
          <w:spacing w:val="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financial advisory </w:t>
      </w:r>
      <w:proofErr w:type="gramStart"/>
      <w:r w:rsidR="00475A3A">
        <w:rPr>
          <w:rFonts w:ascii="Helvetica" w:hAnsi="Helvetica" w:cs="Helvetica"/>
          <w:spacing w:val="-1"/>
          <w:sz w:val="20"/>
          <w:szCs w:val="20"/>
        </w:rPr>
        <w:t>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proofErr w:type="gramEnd"/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7A5DBC38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in Attachment 4A (and Attachment 4B if applicable)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6A3F96">
        <w:rPr>
          <w:rFonts w:ascii="Helvetica" w:hAnsi="Helvetica" w:cs="Helvetica"/>
          <w:sz w:val="20"/>
          <w:szCs w:val="20"/>
        </w:rPr>
        <w:t>complete</w:t>
      </w:r>
      <w:proofErr w:type="gramEnd"/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Signed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EndPr/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401958">
      <w:pPr>
        <w:pStyle w:val="Body"/>
        <w:tabs>
          <w:tab w:val="left" w:pos="3150"/>
        </w:tabs>
        <w:spacing w:line="480" w:lineRule="auto"/>
        <w:jc w:val="both"/>
        <w:rPr>
          <w:b/>
          <w:sz w:val="20"/>
          <w:szCs w:val="20"/>
        </w:rPr>
      </w:pPr>
      <w:r w:rsidRPr="00401958">
        <w:rPr>
          <w:b/>
          <w:bCs/>
          <w:sz w:val="20"/>
          <w:szCs w:val="20"/>
        </w:rPr>
        <w:t>Title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122B0EA0" w:rsidR="00CF23F8" w:rsidRDefault="00401958" w:rsidP="00401958">
      <w:pPr>
        <w:pStyle w:val="Body"/>
        <w:tabs>
          <w:tab w:val="left" w:pos="315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Company/Firm (“Respondent”)</w:t>
      </w:r>
      <w:r w:rsidR="0089361D" w:rsidRPr="34B0A98D">
        <w:rPr>
          <w:b/>
          <w:bCs/>
          <w:sz w:val="20"/>
          <w:szCs w:val="20"/>
        </w:rPr>
        <w:t>:</w:t>
      </w:r>
      <w:r w:rsidR="0089361D"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EndPr/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0CD78945" w14:textId="22356CFC" w:rsidR="001B4A5D" w:rsidRPr="009155B1" w:rsidRDefault="001B4A5D" w:rsidP="00401958">
      <w:pPr>
        <w:pStyle w:val="Body"/>
        <w:tabs>
          <w:tab w:val="left" w:pos="3150"/>
        </w:tabs>
        <w:spacing w:line="48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-247739043"/>
          <w:placeholder>
            <w:docPart w:val="1BE5EEE3C91F4B5DB6E3672CAC383064"/>
          </w:placeholder>
          <w:showingPlcHdr/>
          <w:text/>
        </w:sdtPr>
        <w:sdtEndPr/>
        <w:sdtContent>
          <w:r w:rsidRPr="00B907D5">
            <w:rPr>
              <w:rStyle w:val="PlaceholderText"/>
            </w:rPr>
            <w:t>Click or tap here to enter text.</w:t>
          </w:r>
        </w:sdtContent>
      </w:sdt>
    </w:p>
    <w:sectPr w:rsidR="001B4A5D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FBC9" w14:textId="77777777" w:rsidR="0022419A" w:rsidRDefault="0022419A">
      <w:r>
        <w:separator/>
      </w:r>
    </w:p>
  </w:endnote>
  <w:endnote w:type="continuationSeparator" w:id="0">
    <w:p w14:paraId="0E7D4AE7" w14:textId="77777777" w:rsidR="0022419A" w:rsidRDefault="0022419A">
      <w:r>
        <w:continuationSeparator/>
      </w:r>
    </w:p>
  </w:endnote>
  <w:endnote w:type="continuationNotice" w:id="1">
    <w:p w14:paraId="17679A76" w14:textId="77777777" w:rsidR="0022419A" w:rsidRDefault="00224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8CD9" w14:textId="77777777" w:rsidR="0022419A" w:rsidRDefault="0022419A">
      <w:r>
        <w:separator/>
      </w:r>
    </w:p>
  </w:footnote>
  <w:footnote w:type="continuationSeparator" w:id="0">
    <w:p w14:paraId="31E7FD18" w14:textId="77777777" w:rsidR="0022419A" w:rsidRDefault="0022419A">
      <w:r>
        <w:continuationSeparator/>
      </w:r>
    </w:p>
  </w:footnote>
  <w:footnote w:type="continuationNotice" w:id="1">
    <w:p w14:paraId="19C26571" w14:textId="77777777" w:rsidR="0022419A" w:rsidRDefault="002241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008435A9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</w:p>
  <w:p w14:paraId="678AF63E" w14:textId="26AB4D96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AA5EEA">
      <w:rPr>
        <w:rFonts w:cs="Helvetica"/>
        <w:i/>
        <w:iCs/>
        <w:color w:val="000000" w:themeColor="text1"/>
        <w:sz w:val="20"/>
        <w:szCs w:val="20"/>
      </w:rPr>
      <w:t>9</w:t>
    </w:r>
    <w:r w:rsidR="00DF0BA5">
      <w:rPr>
        <w:rFonts w:cs="Helvetica"/>
        <w:i/>
        <w:iCs/>
        <w:color w:val="000000" w:themeColor="text1"/>
        <w:sz w:val="20"/>
        <w:szCs w:val="20"/>
      </w:rPr>
      <w:t>/202</w:t>
    </w:r>
    <w:r w:rsidR="00AA5EEA">
      <w:rPr>
        <w:rFonts w:cs="Helvetica"/>
        <w:i/>
        <w:iCs/>
        <w:color w:val="000000" w:themeColor="text1"/>
        <w:sz w:val="20"/>
        <w:szCs w:val="20"/>
      </w:rPr>
      <w:t>3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Pvln0O+cStyZWBp3Za/hLH4qG13oVmbUT7jzRph/uJFk2sV3MyIfhK1BXHjzrHVhcwuqCSoLfLhd0Lq4moLhkQ==" w:salt="8itYqaw4J9SaxGNOvE/JK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4137F"/>
    <w:rsid w:val="00153795"/>
    <w:rsid w:val="00157C75"/>
    <w:rsid w:val="0016151F"/>
    <w:rsid w:val="001862A0"/>
    <w:rsid w:val="001B2204"/>
    <w:rsid w:val="001B443C"/>
    <w:rsid w:val="001B4A5D"/>
    <w:rsid w:val="001B5771"/>
    <w:rsid w:val="001F57C0"/>
    <w:rsid w:val="002058FB"/>
    <w:rsid w:val="0022419A"/>
    <w:rsid w:val="00253853"/>
    <w:rsid w:val="0025486D"/>
    <w:rsid w:val="002660A1"/>
    <w:rsid w:val="0027193B"/>
    <w:rsid w:val="002728E0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401958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606462"/>
    <w:rsid w:val="00606F61"/>
    <w:rsid w:val="00611767"/>
    <w:rsid w:val="0065232C"/>
    <w:rsid w:val="006612A6"/>
    <w:rsid w:val="00670ABB"/>
    <w:rsid w:val="006747F2"/>
    <w:rsid w:val="00694FB7"/>
    <w:rsid w:val="006A3F96"/>
    <w:rsid w:val="006E46F4"/>
    <w:rsid w:val="00702B18"/>
    <w:rsid w:val="0071494B"/>
    <w:rsid w:val="007213AF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21B1"/>
    <w:rsid w:val="007E46CC"/>
    <w:rsid w:val="007F088A"/>
    <w:rsid w:val="00801655"/>
    <w:rsid w:val="008031F3"/>
    <w:rsid w:val="00821399"/>
    <w:rsid w:val="00827D25"/>
    <w:rsid w:val="0083541D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AA9"/>
    <w:rsid w:val="00A91861"/>
    <w:rsid w:val="00AA5EEA"/>
    <w:rsid w:val="00AB2C81"/>
    <w:rsid w:val="00AB4283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6259C"/>
    <w:rsid w:val="00C96B56"/>
    <w:rsid w:val="00CE1E0F"/>
    <w:rsid w:val="00CF23F8"/>
    <w:rsid w:val="00D13491"/>
    <w:rsid w:val="00D34433"/>
    <w:rsid w:val="00D42714"/>
    <w:rsid w:val="00DB6B86"/>
    <w:rsid w:val="00DC1977"/>
    <w:rsid w:val="00DC394D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AA5EE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5EEE3C91F4B5DB6E3672CAC383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1251-6451-46CC-8FF5-80411F13D18C}"/>
      </w:docPartPr>
      <w:docPartBody>
        <w:p w:rsidR="00D17958" w:rsidRDefault="00D17958" w:rsidP="00D17958">
          <w:pPr>
            <w:pStyle w:val="1BE5EEE3C91F4B5DB6E3672CAC383064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8F5E4A"/>
    <w:rsid w:val="009C3C17"/>
    <w:rsid w:val="00D1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7958"/>
    <w:rPr>
      <w:color w:val="808080"/>
    </w:rPr>
  </w:style>
  <w:style w:type="paragraph" w:customStyle="1" w:styleId="1BE5EEE3C91F4B5DB6E3672CAC383064">
    <w:name w:val="1BE5EEE3C91F4B5DB6E3672CAC383064"/>
    <w:rsid w:val="00D179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4" ma:contentTypeDescription="Create a new document." ma:contentTypeScope="" ma:versionID="7e44e14ffc9714c46d6e2f85c6414476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079c875fd9983c50430703bb2f8870f2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F33D0-4752-4E1C-ADB8-730E7A98C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customXml/itemProps3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>HP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3</cp:revision>
  <cp:lastPrinted>2020-01-24T00:04:00Z</cp:lastPrinted>
  <dcterms:created xsi:type="dcterms:W3CDTF">2023-09-19T14:49:00Z</dcterms:created>
  <dcterms:modified xsi:type="dcterms:W3CDTF">2023-09-19T14:50:00Z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