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536A" w14:textId="77777777" w:rsidR="00D56478" w:rsidRDefault="00731C67" w:rsidP="00936600">
      <w:pPr>
        <w:tabs>
          <w:tab w:val="left" w:pos="3456"/>
          <w:tab w:val="left" w:pos="5640"/>
        </w:tabs>
        <w:spacing w:line="276" w:lineRule="auto"/>
        <w:rPr>
          <w:rFonts w:asciiTheme="majorHAnsi" w:hAnsiTheme="majorHAnsi" w:cstheme="majorHAnsi"/>
          <w:sz w:val="22"/>
          <w:szCs w:val="22"/>
        </w:rPr>
      </w:pPr>
      <w:r w:rsidRPr="00936600">
        <w:rPr>
          <w:rFonts w:asciiTheme="majorHAnsi" w:hAnsiTheme="majorHAnsi" w:cstheme="majorHAnsi"/>
          <w:sz w:val="22"/>
          <w:szCs w:val="22"/>
        </w:rPr>
        <w:tab/>
      </w:r>
      <w:r w:rsidR="00936600">
        <w:rPr>
          <w:rFonts w:asciiTheme="majorHAnsi" w:hAnsiTheme="majorHAnsi" w:cstheme="majorHAnsi"/>
          <w:sz w:val="22"/>
          <w:szCs w:val="22"/>
        </w:rPr>
        <w:t xml:space="preserve">     </w:t>
      </w:r>
    </w:p>
    <w:p w14:paraId="6CF1D97F" w14:textId="77777777" w:rsidR="00FF36E4" w:rsidRDefault="00FF36E4" w:rsidP="00D56478">
      <w:pPr>
        <w:tabs>
          <w:tab w:val="left" w:pos="3456"/>
          <w:tab w:val="left" w:pos="5640"/>
        </w:tabs>
        <w:spacing w:line="276" w:lineRule="auto"/>
        <w:jc w:val="center"/>
        <w:rPr>
          <w:rFonts w:asciiTheme="majorHAnsi" w:hAnsiTheme="majorHAnsi" w:cstheme="majorHAnsi"/>
          <w:b/>
          <w:color w:val="365F91" w:themeColor="accent1" w:themeShade="BF"/>
          <w:sz w:val="28"/>
          <w:szCs w:val="28"/>
        </w:rPr>
      </w:pPr>
    </w:p>
    <w:p w14:paraId="0D0190CA" w14:textId="77777777" w:rsidR="00626E40" w:rsidRDefault="009F67B1" w:rsidP="00D56478">
      <w:pPr>
        <w:tabs>
          <w:tab w:val="left" w:pos="3456"/>
          <w:tab w:val="left" w:pos="5640"/>
        </w:tabs>
        <w:spacing w:line="276" w:lineRule="auto"/>
        <w:jc w:val="center"/>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Making Sound Placement Decisions</w:t>
      </w:r>
    </w:p>
    <w:p w14:paraId="296BA2DA" w14:textId="6F0C4629" w:rsidR="00626E40" w:rsidRDefault="009F67B1" w:rsidP="008F3A57">
      <w:pPr>
        <w:tabs>
          <w:tab w:val="left" w:pos="3456"/>
          <w:tab w:val="left" w:pos="5640"/>
        </w:tabs>
        <w:spacing w:line="276" w:lineRule="auto"/>
        <w:jc w:val="center"/>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 xml:space="preserve"> for Children</w:t>
      </w:r>
      <w:r w:rsidR="00626E40">
        <w:rPr>
          <w:rFonts w:asciiTheme="majorHAnsi" w:hAnsiTheme="majorHAnsi" w:cstheme="majorHAnsi"/>
          <w:b/>
          <w:color w:val="365F91" w:themeColor="accent1" w:themeShade="BF"/>
          <w:sz w:val="28"/>
          <w:szCs w:val="28"/>
        </w:rPr>
        <w:t xml:space="preserve"> with Disabilities, Ages</w:t>
      </w:r>
      <w:r>
        <w:rPr>
          <w:rFonts w:asciiTheme="majorHAnsi" w:hAnsiTheme="majorHAnsi" w:cstheme="majorHAnsi"/>
          <w:b/>
          <w:color w:val="365F91" w:themeColor="accent1" w:themeShade="BF"/>
          <w:sz w:val="28"/>
          <w:szCs w:val="28"/>
        </w:rPr>
        <w:t xml:space="preserve"> 3-5</w:t>
      </w:r>
    </w:p>
    <w:p w14:paraId="44EC96D8" w14:textId="45FC884D" w:rsidR="008F3A57" w:rsidRDefault="008F3A57" w:rsidP="008F3A57">
      <w:pPr>
        <w:tabs>
          <w:tab w:val="left" w:pos="3456"/>
          <w:tab w:val="left" w:pos="5640"/>
        </w:tabs>
        <w:spacing w:line="276" w:lineRule="auto"/>
        <w:jc w:val="center"/>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January 20</w:t>
      </w:r>
      <w:r w:rsidRPr="008F3A57">
        <w:rPr>
          <w:rFonts w:asciiTheme="majorHAnsi" w:hAnsiTheme="majorHAnsi" w:cstheme="majorHAnsi"/>
          <w:b/>
          <w:color w:val="365F91" w:themeColor="accent1" w:themeShade="BF"/>
          <w:sz w:val="28"/>
          <w:szCs w:val="28"/>
          <w:vertAlign w:val="superscript"/>
        </w:rPr>
        <w:t>th</w:t>
      </w:r>
      <w:r>
        <w:rPr>
          <w:rFonts w:asciiTheme="majorHAnsi" w:hAnsiTheme="majorHAnsi" w:cstheme="majorHAnsi"/>
          <w:b/>
          <w:color w:val="365F91" w:themeColor="accent1" w:themeShade="BF"/>
          <w:sz w:val="28"/>
          <w:szCs w:val="28"/>
        </w:rPr>
        <w:t>, 2021</w:t>
      </w:r>
    </w:p>
    <w:p w14:paraId="27502CC8" w14:textId="01271083" w:rsidR="00AC416A" w:rsidRDefault="00626E40" w:rsidP="008F3A57">
      <w:pPr>
        <w:tabs>
          <w:tab w:val="left" w:pos="3456"/>
          <w:tab w:val="left" w:pos="5640"/>
        </w:tabs>
        <w:spacing w:line="276" w:lineRule="auto"/>
        <w:jc w:val="center"/>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Resources</w:t>
      </w:r>
    </w:p>
    <w:p w14:paraId="66E3E194" w14:textId="77777777" w:rsidR="00626E40" w:rsidRDefault="00626E40" w:rsidP="00626E40">
      <w:pPr>
        <w:tabs>
          <w:tab w:val="left" w:pos="3456"/>
          <w:tab w:val="left" w:pos="5640"/>
        </w:tabs>
        <w:spacing w:line="276" w:lineRule="auto"/>
        <w:rPr>
          <w:rFonts w:asciiTheme="majorHAnsi" w:hAnsiTheme="majorHAnsi" w:cstheme="majorHAnsi"/>
          <w:b/>
          <w:color w:val="365F91" w:themeColor="accent1" w:themeShade="BF"/>
          <w:sz w:val="28"/>
          <w:szCs w:val="28"/>
        </w:rPr>
      </w:pPr>
    </w:p>
    <w:p w14:paraId="56294236" w14:textId="551FDAE5" w:rsidR="00626E40" w:rsidRDefault="00626E40" w:rsidP="00626E40">
      <w:pPr>
        <w:tabs>
          <w:tab w:val="left" w:pos="3456"/>
          <w:tab w:val="left" w:pos="5640"/>
        </w:tabs>
        <w:spacing w:line="276" w:lineRule="auto"/>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Inclusion is a process, not a place</w:t>
      </w:r>
    </w:p>
    <w:p w14:paraId="421D6B1E" w14:textId="7DA33543" w:rsidR="00626E40" w:rsidRDefault="00626E40" w:rsidP="00626E40">
      <w:pPr>
        <w:tabs>
          <w:tab w:val="left" w:pos="3456"/>
          <w:tab w:val="left" w:pos="5640"/>
        </w:tabs>
        <w:spacing w:line="276" w:lineRule="auto"/>
        <w:rPr>
          <w:rFonts w:asciiTheme="majorHAnsi" w:hAnsiTheme="majorHAnsi" w:cstheme="majorHAnsi"/>
          <w:b/>
          <w:color w:val="365F91" w:themeColor="accent1" w:themeShade="BF"/>
          <w:sz w:val="28"/>
          <w:szCs w:val="28"/>
        </w:rPr>
      </w:pPr>
    </w:p>
    <w:p w14:paraId="2FB540CA" w14:textId="2745D087" w:rsidR="002D1CE1" w:rsidRPr="00301338" w:rsidRDefault="00301338" w:rsidP="00626E40">
      <w:pPr>
        <w:tabs>
          <w:tab w:val="left" w:pos="3456"/>
          <w:tab w:val="left" w:pos="5640"/>
        </w:tabs>
        <w:spacing w:line="276" w:lineRule="auto"/>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T</w:t>
      </w:r>
      <w:r w:rsidR="00626E40">
        <w:rPr>
          <w:rFonts w:asciiTheme="majorHAnsi" w:hAnsiTheme="majorHAnsi" w:cstheme="majorHAnsi"/>
          <w:b/>
          <w:color w:val="365F91" w:themeColor="accent1" w:themeShade="BF"/>
          <w:sz w:val="28"/>
          <w:szCs w:val="28"/>
        </w:rPr>
        <w:t xml:space="preserve">he United States Department of Education, Office of Special Education Programs and Rehabilitative Services, </w:t>
      </w:r>
      <w:hyperlink r:id="rId10" w:history="1">
        <w:r w:rsidR="00626E40" w:rsidRPr="00626E40">
          <w:rPr>
            <w:rStyle w:val="Hyperlink"/>
            <w:rFonts w:asciiTheme="majorHAnsi" w:hAnsiTheme="majorHAnsi" w:cstheme="majorHAnsi"/>
            <w:bCs/>
            <w:sz w:val="28"/>
            <w:szCs w:val="28"/>
          </w:rPr>
          <w:t>Dear Colleague Letter on preschool LRE</w:t>
        </w:r>
      </w:hyperlink>
      <w:r w:rsidR="00626E40">
        <w:rPr>
          <w:rFonts w:asciiTheme="majorHAnsi" w:hAnsiTheme="majorHAnsi" w:cstheme="majorHAnsi"/>
          <w:b/>
          <w:color w:val="365F91" w:themeColor="accent1" w:themeShade="BF"/>
          <w:sz w:val="28"/>
          <w:szCs w:val="28"/>
        </w:rPr>
        <w:t xml:space="preserve"> </w:t>
      </w:r>
    </w:p>
    <w:p w14:paraId="6AEAF90E" w14:textId="77777777" w:rsidR="00301338" w:rsidRDefault="00301338" w:rsidP="00626E40">
      <w:pPr>
        <w:tabs>
          <w:tab w:val="left" w:pos="3456"/>
          <w:tab w:val="left" w:pos="5640"/>
        </w:tabs>
        <w:spacing w:line="276" w:lineRule="auto"/>
        <w:rPr>
          <w:rFonts w:asciiTheme="majorHAnsi" w:hAnsiTheme="majorHAnsi" w:cstheme="majorHAnsi"/>
          <w:b/>
          <w:bCs/>
        </w:rPr>
      </w:pPr>
    </w:p>
    <w:p w14:paraId="202CFE03" w14:textId="3C5D8603" w:rsidR="00626E40" w:rsidRPr="001019F4" w:rsidRDefault="00626E40" w:rsidP="00626E40">
      <w:pPr>
        <w:tabs>
          <w:tab w:val="left" w:pos="3456"/>
          <w:tab w:val="left" w:pos="5640"/>
        </w:tabs>
        <w:spacing w:line="276" w:lineRule="auto"/>
        <w:rPr>
          <w:rFonts w:asciiTheme="majorHAnsi" w:hAnsiTheme="majorHAnsi" w:cstheme="majorHAnsi"/>
          <w:b/>
          <w:bCs/>
          <w:color w:val="365F91" w:themeColor="accent1" w:themeShade="BF"/>
        </w:rPr>
      </w:pPr>
      <w:r w:rsidRPr="001019F4">
        <w:rPr>
          <w:rFonts w:asciiTheme="majorHAnsi" w:hAnsiTheme="majorHAnsi" w:cstheme="majorHAnsi"/>
          <w:b/>
          <w:bCs/>
        </w:rPr>
        <w:t>Key Statutory and Regulatory Requirements</w:t>
      </w:r>
    </w:p>
    <w:p w14:paraId="724FE18D" w14:textId="77777777" w:rsidR="001019F4" w:rsidRPr="001019F4" w:rsidRDefault="00626E40"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sidRPr="00626E40">
        <w:rPr>
          <w:rFonts w:asciiTheme="majorHAnsi" w:hAnsiTheme="majorHAnsi" w:cstheme="majorHAnsi"/>
        </w:rPr>
        <w:t xml:space="preserve">A preschool child with a disability eligible </w:t>
      </w:r>
      <w:r w:rsidR="001019F4">
        <w:rPr>
          <w:rFonts w:asciiTheme="majorHAnsi" w:hAnsiTheme="majorHAnsi" w:cstheme="majorHAnsi"/>
        </w:rPr>
        <w:t xml:space="preserve">for </w:t>
      </w:r>
      <w:r w:rsidRPr="00626E40">
        <w:rPr>
          <w:rFonts w:asciiTheme="majorHAnsi" w:hAnsiTheme="majorHAnsi" w:cstheme="majorHAnsi"/>
        </w:rPr>
        <w:t>special education and related services and his or her parents are entitled to all the rights and protections guaranteed under Part B of the IDEA</w:t>
      </w:r>
    </w:p>
    <w:p w14:paraId="66EAA6D8" w14:textId="4EC5E67F" w:rsidR="001019F4" w:rsidRPr="001019F4" w:rsidRDefault="001019F4"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rPr>
        <w:t xml:space="preserve">A </w:t>
      </w:r>
      <w:r w:rsidR="00626E40" w:rsidRPr="00626E40">
        <w:rPr>
          <w:rFonts w:asciiTheme="majorHAnsi" w:hAnsiTheme="majorHAnsi" w:cstheme="majorHAnsi"/>
        </w:rPr>
        <w:t>guaranteed right</w:t>
      </w:r>
      <w:r>
        <w:rPr>
          <w:rFonts w:asciiTheme="majorHAnsi" w:hAnsiTheme="majorHAnsi" w:cstheme="majorHAnsi"/>
        </w:rPr>
        <w:t xml:space="preserve"> </w:t>
      </w:r>
      <w:r w:rsidR="00626E40" w:rsidRPr="00626E40">
        <w:rPr>
          <w:rFonts w:asciiTheme="majorHAnsi" w:hAnsiTheme="majorHAnsi" w:cstheme="majorHAnsi"/>
        </w:rPr>
        <w:t>is the right to be educated in the LRE</w:t>
      </w:r>
    </w:p>
    <w:p w14:paraId="7A6CAA45" w14:textId="77777777" w:rsidR="001019F4" w:rsidRPr="001019F4" w:rsidRDefault="00626E40"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sidRPr="00626E40">
        <w:rPr>
          <w:rFonts w:asciiTheme="majorHAnsi" w:hAnsiTheme="majorHAnsi" w:cstheme="majorHAnsi"/>
        </w:rPr>
        <w:t xml:space="preserve"> LRE requirements under Part B of the IDEA state a strong preference for educating children with disabilities in regular classes alongside their peers without disabilities</w:t>
      </w:r>
    </w:p>
    <w:p w14:paraId="6A35F86B" w14:textId="77777777" w:rsidR="001019F4" w:rsidRPr="001019F4" w:rsidRDefault="00626E40"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sidRPr="00626E40">
        <w:rPr>
          <w:rFonts w:asciiTheme="majorHAnsi" w:hAnsiTheme="majorHAnsi" w:cstheme="majorHAnsi"/>
        </w:rPr>
        <w:t xml:space="preserve"> “regular class” includes a preschool setting with typically developing peers</w:t>
      </w:r>
    </w:p>
    <w:p w14:paraId="2B1CCD28" w14:textId="77777777" w:rsidR="001019F4" w:rsidRPr="001019F4" w:rsidRDefault="00626E40"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sidRPr="00626E40">
        <w:rPr>
          <w:rFonts w:asciiTheme="majorHAnsi" w:hAnsiTheme="majorHAnsi" w:cstheme="majorHAnsi"/>
        </w:rPr>
        <w:t xml:space="preserve"> </w:t>
      </w:r>
      <w:r w:rsidR="001019F4">
        <w:rPr>
          <w:rFonts w:asciiTheme="majorHAnsi" w:hAnsiTheme="majorHAnsi" w:cstheme="majorHAnsi"/>
        </w:rPr>
        <w:t>E</w:t>
      </w:r>
      <w:r w:rsidRPr="00626E40">
        <w:rPr>
          <w:rFonts w:asciiTheme="majorHAnsi" w:hAnsiTheme="majorHAnsi" w:cstheme="majorHAnsi"/>
        </w:rPr>
        <w:t>ach child’s placement decision is made by a group of persons, including the parents, and other persons knowledgeable about the child</w:t>
      </w:r>
      <w:r w:rsidR="001019F4">
        <w:rPr>
          <w:rFonts w:asciiTheme="majorHAnsi" w:hAnsiTheme="majorHAnsi" w:cstheme="majorHAnsi"/>
        </w:rPr>
        <w:t xml:space="preserve"> according to </w:t>
      </w:r>
      <w:r w:rsidRPr="00626E40">
        <w:rPr>
          <w:rFonts w:asciiTheme="majorHAnsi" w:hAnsiTheme="majorHAnsi" w:cstheme="majorHAnsi"/>
        </w:rPr>
        <w:t xml:space="preserve"> LRE provisions</w:t>
      </w:r>
    </w:p>
    <w:p w14:paraId="598936C0" w14:textId="740499FC" w:rsidR="001019F4" w:rsidRPr="001019F4" w:rsidRDefault="001019F4" w:rsidP="00626E40">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rPr>
        <w:t>P</w:t>
      </w:r>
      <w:r w:rsidR="00626E40" w:rsidRPr="00626E40">
        <w:rPr>
          <w:rFonts w:asciiTheme="majorHAnsi" w:hAnsiTheme="majorHAnsi" w:cstheme="majorHAnsi"/>
        </w:rPr>
        <w:t>lacement must be</w:t>
      </w:r>
      <w:r>
        <w:rPr>
          <w:rFonts w:asciiTheme="majorHAnsi" w:hAnsiTheme="majorHAnsi" w:cstheme="majorHAnsi"/>
        </w:rPr>
        <w:t xml:space="preserve"> </w:t>
      </w:r>
      <w:r w:rsidR="00626E40" w:rsidRPr="00626E40">
        <w:rPr>
          <w:rFonts w:asciiTheme="majorHAnsi" w:hAnsiTheme="majorHAnsi" w:cstheme="majorHAnsi"/>
        </w:rPr>
        <w:t xml:space="preserve">based on the child’s individualized education program (IEP) </w:t>
      </w:r>
    </w:p>
    <w:p w14:paraId="08171583" w14:textId="77777777" w:rsidR="001019F4" w:rsidRPr="001019F4" w:rsidRDefault="001019F4" w:rsidP="001019F4">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rPr>
        <w:t>T</w:t>
      </w:r>
      <w:r w:rsidR="00626E40" w:rsidRPr="001019F4">
        <w:rPr>
          <w:rFonts w:asciiTheme="majorHAnsi" w:hAnsiTheme="majorHAnsi" w:cstheme="majorHAnsi"/>
        </w:rPr>
        <w:t>he IEP must include an explanation of the extent, if any, to which the child will not participate with nondisabled children in the regular class</w:t>
      </w:r>
    </w:p>
    <w:p w14:paraId="0BCFC3EB" w14:textId="3C9BB928" w:rsidR="001019F4" w:rsidRPr="001019F4" w:rsidRDefault="00626E40" w:rsidP="001019F4">
      <w:pPr>
        <w:pStyle w:val="ListParagraph"/>
        <w:numPr>
          <w:ilvl w:val="0"/>
          <w:numId w:val="23"/>
        </w:numPr>
        <w:tabs>
          <w:tab w:val="left" w:pos="3456"/>
          <w:tab w:val="left" w:pos="5640"/>
        </w:tabs>
        <w:spacing w:line="276" w:lineRule="auto"/>
        <w:rPr>
          <w:rFonts w:asciiTheme="majorHAnsi" w:hAnsiTheme="majorHAnsi" w:cstheme="majorHAnsi"/>
          <w:b/>
          <w:bCs/>
          <w:i/>
          <w:iCs/>
          <w:color w:val="365F91" w:themeColor="accent1" w:themeShade="BF"/>
        </w:rPr>
      </w:pPr>
      <w:r w:rsidRPr="001019F4">
        <w:rPr>
          <w:rFonts w:asciiTheme="majorHAnsi" w:hAnsiTheme="majorHAnsi" w:cstheme="majorHAnsi"/>
          <w:b/>
          <w:bCs/>
          <w:i/>
          <w:iCs/>
        </w:rPr>
        <w:t>Before a child with a disability can be placed outside the regular educational environment, the group of persons making the placement decision must consider whether supplementary aids and services could be provided that would enable the education of the child, including a preschool child with a disability, in the regular educational setting to be achieved satisfactorily</w:t>
      </w:r>
    </w:p>
    <w:p w14:paraId="3D1B0282" w14:textId="77777777" w:rsidR="001019F4" w:rsidRPr="008F3A57" w:rsidRDefault="001019F4" w:rsidP="008F3A57">
      <w:pPr>
        <w:tabs>
          <w:tab w:val="left" w:pos="3456"/>
          <w:tab w:val="left" w:pos="5640"/>
        </w:tabs>
        <w:spacing w:line="276" w:lineRule="auto"/>
        <w:ind w:left="360"/>
        <w:rPr>
          <w:rFonts w:asciiTheme="majorHAnsi" w:hAnsiTheme="majorHAnsi" w:cstheme="majorHAnsi"/>
          <w:b/>
          <w:bCs/>
          <w:i/>
          <w:iCs/>
          <w:color w:val="365F91" w:themeColor="accent1" w:themeShade="BF"/>
        </w:rPr>
      </w:pPr>
      <w:bookmarkStart w:id="0" w:name="_GoBack"/>
      <w:bookmarkEnd w:id="0"/>
    </w:p>
    <w:p w14:paraId="36EB03AA" w14:textId="2D2FA12F" w:rsidR="001019F4" w:rsidRPr="001019F4" w:rsidRDefault="00626E40" w:rsidP="001019F4">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sidRPr="001019F4">
        <w:rPr>
          <w:rFonts w:asciiTheme="majorHAnsi" w:hAnsiTheme="majorHAnsi" w:cstheme="majorHAnsi"/>
        </w:rPr>
        <w:t xml:space="preserve">If a determination is made </w:t>
      </w:r>
      <w:r w:rsidR="001019F4">
        <w:rPr>
          <w:rFonts w:asciiTheme="majorHAnsi" w:hAnsiTheme="majorHAnsi" w:cstheme="majorHAnsi"/>
        </w:rPr>
        <w:t xml:space="preserve">that </w:t>
      </w:r>
      <w:r w:rsidRPr="001019F4">
        <w:rPr>
          <w:rFonts w:asciiTheme="majorHAnsi" w:hAnsiTheme="majorHAnsi" w:cstheme="majorHAnsi"/>
        </w:rPr>
        <w:t xml:space="preserve">a </w:t>
      </w:r>
      <w:proofErr w:type="gramStart"/>
      <w:r w:rsidRPr="001019F4">
        <w:rPr>
          <w:rFonts w:asciiTheme="majorHAnsi" w:hAnsiTheme="majorHAnsi" w:cstheme="majorHAnsi"/>
        </w:rPr>
        <w:t>particular child</w:t>
      </w:r>
      <w:proofErr w:type="gramEnd"/>
      <w:r w:rsidRPr="001019F4">
        <w:rPr>
          <w:rFonts w:asciiTheme="majorHAnsi" w:hAnsiTheme="majorHAnsi" w:cstheme="majorHAnsi"/>
        </w:rPr>
        <w:t xml:space="preserve"> </w:t>
      </w:r>
      <w:r w:rsidR="001019F4" w:rsidRPr="001019F4">
        <w:rPr>
          <w:rFonts w:asciiTheme="majorHAnsi" w:hAnsiTheme="majorHAnsi" w:cstheme="majorHAnsi"/>
          <w:sz w:val="22"/>
          <w:szCs w:val="22"/>
        </w:rPr>
        <w:t>cannot be achieved satisfactorily in the regular educational environment, even with the provision of appropriate supplementary aids and services, that child then could be placed in a setting other than the regular educational setting</w:t>
      </w:r>
    </w:p>
    <w:p w14:paraId="23EE9099" w14:textId="03DE1C31" w:rsidR="001019F4" w:rsidRPr="001019F4" w:rsidRDefault="001019F4" w:rsidP="001019F4">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sz w:val="22"/>
          <w:szCs w:val="22"/>
        </w:rPr>
        <w:lastRenderedPageBreak/>
        <w:t>F</w:t>
      </w:r>
      <w:r w:rsidRPr="001019F4">
        <w:rPr>
          <w:rFonts w:asciiTheme="majorHAnsi" w:hAnsiTheme="majorHAnsi" w:cstheme="majorHAnsi"/>
          <w:sz w:val="22"/>
          <w:szCs w:val="22"/>
        </w:rPr>
        <w:t xml:space="preserve">ree appropriate public education (FAPE) must </w:t>
      </w:r>
      <w:r>
        <w:rPr>
          <w:rFonts w:asciiTheme="majorHAnsi" w:hAnsiTheme="majorHAnsi" w:cstheme="majorHAnsi"/>
          <w:sz w:val="22"/>
          <w:szCs w:val="22"/>
        </w:rPr>
        <w:t>include the</w:t>
      </w:r>
      <w:r w:rsidRPr="001019F4">
        <w:rPr>
          <w:rFonts w:asciiTheme="majorHAnsi" w:hAnsiTheme="majorHAnsi" w:cstheme="majorHAnsi"/>
          <w:sz w:val="22"/>
          <w:szCs w:val="22"/>
        </w:rPr>
        <w:t xml:space="preserve"> availab</w:t>
      </w:r>
      <w:r>
        <w:rPr>
          <w:rFonts w:asciiTheme="majorHAnsi" w:hAnsiTheme="majorHAnsi" w:cstheme="majorHAnsi"/>
          <w:sz w:val="22"/>
          <w:szCs w:val="22"/>
        </w:rPr>
        <w:t>ility of</w:t>
      </w:r>
      <w:r w:rsidRPr="001019F4">
        <w:rPr>
          <w:rFonts w:asciiTheme="majorHAnsi" w:hAnsiTheme="majorHAnsi" w:cstheme="majorHAnsi"/>
          <w:sz w:val="22"/>
          <w:szCs w:val="22"/>
        </w:rPr>
        <w:t xml:space="preserve"> the full continuum of alternative placements</w:t>
      </w:r>
    </w:p>
    <w:p w14:paraId="5E8E9F9D" w14:textId="24065369" w:rsidR="00626E40" w:rsidRPr="001019F4" w:rsidRDefault="001019F4" w:rsidP="001019F4">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sz w:val="22"/>
          <w:szCs w:val="22"/>
        </w:rPr>
        <w:t>C</w:t>
      </w:r>
      <w:r w:rsidRPr="001019F4">
        <w:rPr>
          <w:rFonts w:asciiTheme="majorHAnsi" w:hAnsiTheme="majorHAnsi" w:cstheme="majorHAnsi"/>
          <w:sz w:val="22"/>
          <w:szCs w:val="22"/>
        </w:rPr>
        <w:t>onsideration also must be given to any potential harmful effect on the child or on the quality of services that the child needs</w:t>
      </w:r>
    </w:p>
    <w:p w14:paraId="21BABB56" w14:textId="213FEF11" w:rsidR="001019F4" w:rsidRPr="001019F4" w:rsidRDefault="001019F4" w:rsidP="001019F4">
      <w:pPr>
        <w:pStyle w:val="ListParagraph"/>
        <w:numPr>
          <w:ilvl w:val="0"/>
          <w:numId w:val="23"/>
        </w:numPr>
        <w:tabs>
          <w:tab w:val="left" w:pos="3456"/>
          <w:tab w:val="left" w:pos="5640"/>
        </w:tabs>
        <w:spacing w:line="276" w:lineRule="auto"/>
        <w:rPr>
          <w:rFonts w:asciiTheme="majorHAnsi" w:hAnsiTheme="majorHAnsi" w:cstheme="majorHAnsi"/>
          <w:b/>
          <w:color w:val="365F91" w:themeColor="accent1" w:themeShade="BF"/>
        </w:rPr>
      </w:pPr>
      <w:r>
        <w:rPr>
          <w:rFonts w:asciiTheme="majorHAnsi" w:hAnsiTheme="majorHAnsi" w:cstheme="majorHAnsi"/>
          <w:sz w:val="22"/>
          <w:szCs w:val="22"/>
        </w:rPr>
        <w:t xml:space="preserve">Home may be an appropriate place for young children to receive their services, </w:t>
      </w:r>
      <w:r w:rsidR="006237F8">
        <w:rPr>
          <w:rFonts w:asciiTheme="majorHAnsi" w:hAnsiTheme="majorHAnsi" w:cstheme="majorHAnsi"/>
          <w:sz w:val="22"/>
          <w:szCs w:val="22"/>
        </w:rPr>
        <w:t>and</w:t>
      </w:r>
      <w:r>
        <w:rPr>
          <w:rFonts w:asciiTheme="majorHAnsi" w:hAnsiTheme="majorHAnsi" w:cstheme="majorHAnsi"/>
          <w:sz w:val="22"/>
          <w:szCs w:val="22"/>
        </w:rPr>
        <w:t xml:space="preserve"> is a </w:t>
      </w:r>
      <w:proofErr w:type="gramStart"/>
      <w:r>
        <w:rPr>
          <w:rFonts w:asciiTheme="majorHAnsi" w:hAnsiTheme="majorHAnsi" w:cstheme="majorHAnsi"/>
          <w:sz w:val="22"/>
          <w:szCs w:val="22"/>
        </w:rPr>
        <w:t>different educational environments</w:t>
      </w:r>
      <w:proofErr w:type="gramEnd"/>
      <w:r>
        <w:rPr>
          <w:rFonts w:asciiTheme="majorHAnsi" w:hAnsiTheme="majorHAnsi" w:cstheme="majorHAnsi"/>
          <w:sz w:val="22"/>
          <w:szCs w:val="22"/>
        </w:rPr>
        <w:t xml:space="preserve"> reporting category than </w:t>
      </w:r>
      <w:r w:rsidR="006237F8">
        <w:rPr>
          <w:rFonts w:asciiTheme="majorHAnsi" w:hAnsiTheme="majorHAnsi" w:cstheme="majorHAnsi"/>
          <w:sz w:val="22"/>
          <w:szCs w:val="22"/>
        </w:rPr>
        <w:t xml:space="preserve">reporting homebound for </w:t>
      </w:r>
      <w:r>
        <w:rPr>
          <w:rFonts w:asciiTheme="majorHAnsi" w:hAnsiTheme="majorHAnsi" w:cstheme="majorHAnsi"/>
          <w:sz w:val="22"/>
          <w:szCs w:val="22"/>
        </w:rPr>
        <w:t xml:space="preserve">school age </w:t>
      </w:r>
      <w:r w:rsidR="006237F8">
        <w:rPr>
          <w:rFonts w:asciiTheme="majorHAnsi" w:hAnsiTheme="majorHAnsi" w:cstheme="majorHAnsi"/>
          <w:sz w:val="22"/>
          <w:szCs w:val="22"/>
        </w:rPr>
        <w:t>children</w:t>
      </w:r>
    </w:p>
    <w:p w14:paraId="57E24676" w14:textId="77777777" w:rsidR="006237F8" w:rsidRDefault="006237F8" w:rsidP="00FF36E4">
      <w:pPr>
        <w:tabs>
          <w:tab w:val="left" w:pos="3456"/>
          <w:tab w:val="left" w:pos="5640"/>
        </w:tabs>
        <w:spacing w:line="276" w:lineRule="auto"/>
        <w:rPr>
          <w:rFonts w:asciiTheme="majorHAnsi" w:hAnsiTheme="majorHAnsi" w:cstheme="majorHAnsi"/>
          <w:b/>
          <w:color w:val="365F91" w:themeColor="accent1" w:themeShade="BF"/>
          <w:sz w:val="28"/>
          <w:szCs w:val="28"/>
        </w:rPr>
      </w:pPr>
    </w:p>
    <w:p w14:paraId="4D3BF397" w14:textId="2CC33558" w:rsidR="00FF36E4" w:rsidRDefault="00FF36E4" w:rsidP="00FF36E4">
      <w:pPr>
        <w:tabs>
          <w:tab w:val="left" w:pos="3456"/>
          <w:tab w:val="left" w:pos="5640"/>
        </w:tabs>
        <w:spacing w:line="276" w:lineRule="auto"/>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Key Considerations in the IEP Process</w:t>
      </w:r>
    </w:p>
    <w:p w14:paraId="5A332898" w14:textId="77777777" w:rsidR="00FF36E4" w:rsidRPr="00FF36E4" w:rsidRDefault="00FF36E4" w:rsidP="00FF36E4">
      <w:pPr>
        <w:tabs>
          <w:tab w:val="left" w:pos="3456"/>
          <w:tab w:val="left" w:pos="5640"/>
        </w:tabs>
        <w:spacing w:line="276" w:lineRule="auto"/>
        <w:rPr>
          <w:rFonts w:asciiTheme="majorHAnsi" w:hAnsiTheme="majorHAnsi" w:cstheme="majorHAnsi"/>
          <w:b/>
          <w:color w:val="365F91" w:themeColor="accent1" w:themeShade="BF"/>
          <w:sz w:val="16"/>
          <w:szCs w:val="16"/>
        </w:rPr>
      </w:pPr>
    </w:p>
    <w:p w14:paraId="430EA08D" w14:textId="77777777" w:rsidR="00FF36E4" w:rsidRP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Arial" w:hAnsiTheme="majorHAnsi" w:cstheme="majorHAnsi"/>
          <w:color w:val="000000" w:themeColor="text1"/>
          <w:kern w:val="24"/>
        </w:rPr>
        <w:t xml:space="preserve">Involve families meaningfully, and with permission the child’s teacher </w:t>
      </w:r>
      <w:r w:rsidRPr="00FF36E4">
        <w:rPr>
          <w:rFonts w:asciiTheme="majorHAnsi" w:eastAsia="Arial" w:hAnsiTheme="majorHAnsi" w:cstheme="majorHAnsi"/>
          <w:b/>
          <w:bCs/>
          <w:color w:val="000000" w:themeColor="text1"/>
          <w:kern w:val="24"/>
        </w:rPr>
        <w:t xml:space="preserve">see IDEA regulations:  </w:t>
      </w:r>
      <w:hyperlink r:id="rId11" w:history="1">
        <w:r w:rsidRPr="00FF36E4">
          <w:rPr>
            <w:rFonts w:asciiTheme="majorHAnsi" w:eastAsia="Arial" w:hAnsiTheme="majorHAnsi" w:cstheme="majorHAnsi"/>
            <w:b/>
            <w:bCs/>
            <w:color w:val="3071C3" w:themeColor="text2" w:themeTint="BF"/>
            <w:kern w:val="24"/>
            <w:u w:val="single"/>
          </w:rPr>
          <w:t>300.322</w:t>
        </w:r>
      </w:hyperlink>
      <w:r w:rsidRPr="00FF36E4">
        <w:rPr>
          <w:rFonts w:asciiTheme="majorHAnsi" w:eastAsia="Arial" w:hAnsiTheme="majorHAnsi" w:cstheme="majorHAnsi"/>
          <w:b/>
          <w:bCs/>
          <w:color w:val="3071C3" w:themeColor="text2" w:themeTint="BF"/>
          <w:kern w:val="24"/>
        </w:rPr>
        <w:t xml:space="preserve">, </w:t>
      </w:r>
    </w:p>
    <w:p w14:paraId="23321F7C" w14:textId="4D07F5DB" w:rsidR="00FF36E4" w:rsidRP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Arial" w:hAnsiTheme="majorHAnsi" w:cstheme="majorHAnsi"/>
          <w:color w:val="000000" w:themeColor="text1"/>
          <w:kern w:val="24"/>
        </w:rPr>
        <w:t xml:space="preserve">Respect and reflect the child’s individual strengths and needs, along with the family’s culture, priorities, and preferences  </w:t>
      </w:r>
      <w:r w:rsidRPr="00FF36E4">
        <w:rPr>
          <w:rFonts w:asciiTheme="majorHAnsi" w:eastAsia="Arial" w:hAnsiTheme="majorHAnsi" w:cstheme="majorHAnsi"/>
          <w:b/>
          <w:bCs/>
          <w:color w:val="000000" w:themeColor="text1"/>
          <w:kern w:val="24"/>
        </w:rPr>
        <w:t xml:space="preserve">see IDEA regulations: </w:t>
      </w:r>
      <w:hyperlink r:id="rId12" w:history="1">
        <w:r w:rsidRPr="00FF36E4">
          <w:rPr>
            <w:rFonts w:asciiTheme="majorHAnsi" w:eastAsia="Arial" w:hAnsiTheme="majorHAnsi" w:cstheme="majorHAnsi"/>
            <w:b/>
            <w:bCs/>
            <w:color w:val="3071C3" w:themeColor="text2" w:themeTint="BF"/>
            <w:kern w:val="24"/>
            <w:u w:val="single"/>
          </w:rPr>
          <w:t>300.321/f</w:t>
        </w:r>
      </w:hyperlink>
    </w:p>
    <w:p w14:paraId="6D2C6C47" w14:textId="77777777" w:rsidR="00FF36E4" w:rsidRPr="00FF36E4" w:rsidRDefault="00FF36E4" w:rsidP="00FF36E4">
      <w:pPr>
        <w:numPr>
          <w:ilvl w:val="0"/>
          <w:numId w:val="17"/>
        </w:numPr>
        <w:spacing w:line="276" w:lineRule="auto"/>
        <w:ind w:left="1080"/>
        <w:contextualSpacing/>
        <w:rPr>
          <w:rFonts w:asciiTheme="majorHAnsi" w:eastAsia="Times New Roman" w:hAnsiTheme="majorHAnsi" w:cstheme="majorHAnsi"/>
          <w:color w:val="24B953"/>
        </w:rPr>
      </w:pPr>
      <w:r w:rsidRPr="00FF36E4">
        <w:rPr>
          <w:rFonts w:asciiTheme="majorHAnsi" w:eastAsia="Arial" w:hAnsiTheme="majorHAnsi" w:cstheme="majorHAnsi"/>
          <w:color w:val="000000" w:themeColor="text1"/>
          <w:kern w:val="24"/>
        </w:rPr>
        <w:t xml:space="preserve">Ensure children participating in Part C early intervention programs experience a smooth and effective transition  </w:t>
      </w:r>
      <w:r w:rsidRPr="00FF36E4">
        <w:rPr>
          <w:rFonts w:asciiTheme="majorHAnsi" w:eastAsia="Arial" w:hAnsiTheme="majorHAnsi" w:cstheme="majorHAnsi"/>
          <w:b/>
          <w:bCs/>
          <w:color w:val="000000" w:themeColor="text1"/>
          <w:kern w:val="24"/>
        </w:rPr>
        <w:t xml:space="preserve">see IDEA regulations: </w:t>
      </w:r>
      <w:hyperlink r:id="rId13" w:history="1">
        <w:r w:rsidRPr="00FF36E4">
          <w:rPr>
            <w:rFonts w:asciiTheme="majorHAnsi" w:eastAsia="Arial" w:hAnsiTheme="majorHAnsi" w:cstheme="majorHAnsi"/>
            <w:b/>
            <w:bCs/>
            <w:color w:val="3071C3" w:themeColor="text2" w:themeTint="BF"/>
            <w:kern w:val="24"/>
            <w:u w:val="single"/>
          </w:rPr>
          <w:t>300.321/f</w:t>
        </w:r>
      </w:hyperlink>
    </w:p>
    <w:p w14:paraId="5C42C2C6" w14:textId="77777777" w:rsidR="00FF36E4" w:rsidRPr="00FF36E4" w:rsidRDefault="00FF36E4" w:rsidP="00FF36E4">
      <w:pPr>
        <w:numPr>
          <w:ilvl w:val="0"/>
          <w:numId w:val="17"/>
        </w:numPr>
        <w:spacing w:line="276" w:lineRule="auto"/>
        <w:ind w:left="1080"/>
        <w:contextualSpacing/>
        <w:rPr>
          <w:rFonts w:asciiTheme="majorHAnsi" w:eastAsia="Times New Roman" w:hAnsiTheme="majorHAnsi" w:cstheme="majorHAnsi"/>
          <w:color w:val="24B953"/>
        </w:rPr>
      </w:pPr>
      <w:r w:rsidRPr="00FF36E4">
        <w:rPr>
          <w:rFonts w:asciiTheme="majorHAnsi" w:eastAsia="Arial" w:hAnsiTheme="majorHAnsi" w:cstheme="majorHAnsi"/>
          <w:color w:val="000000" w:themeColor="text1"/>
          <w:kern w:val="24"/>
        </w:rPr>
        <w:t xml:space="preserve">Follow the IEP process sequentially </w:t>
      </w:r>
    </w:p>
    <w:p w14:paraId="0836FDD3" w14:textId="77777777" w:rsidR="00FF36E4" w:rsidRPr="00FF36E4" w:rsidRDefault="00FF36E4" w:rsidP="00FF36E4">
      <w:pPr>
        <w:numPr>
          <w:ilvl w:val="0"/>
          <w:numId w:val="17"/>
        </w:numPr>
        <w:spacing w:line="276" w:lineRule="auto"/>
        <w:ind w:left="1080"/>
        <w:contextualSpacing/>
        <w:rPr>
          <w:rFonts w:asciiTheme="majorHAnsi" w:eastAsia="Times New Roman" w:hAnsiTheme="majorHAnsi" w:cstheme="majorHAnsi"/>
          <w:color w:val="24B953"/>
        </w:rPr>
      </w:pPr>
      <w:r w:rsidRPr="00FF36E4">
        <w:rPr>
          <w:rFonts w:asciiTheme="majorHAnsi" w:eastAsia="Arial" w:hAnsiTheme="majorHAnsi" w:cstheme="majorHAnsi"/>
          <w:color w:val="000000" w:themeColor="text1"/>
          <w:kern w:val="24"/>
        </w:rPr>
        <w:t xml:space="preserve">Assess the child in all areas of suspected disability, in real-life contexts, </w:t>
      </w:r>
      <w:r w:rsidRPr="00FF36E4">
        <w:rPr>
          <w:rFonts w:asciiTheme="majorHAnsi" w:eastAsia="Arial" w:hAnsiTheme="majorHAnsi" w:cstheme="majorHAnsi"/>
          <w:b/>
          <w:bCs/>
          <w:color w:val="000000" w:themeColor="text1"/>
          <w:kern w:val="24"/>
        </w:rPr>
        <w:t xml:space="preserve">see IDEA regulations:  </w:t>
      </w:r>
      <w:hyperlink r:id="rId14" w:history="1">
        <w:r w:rsidRPr="00FF36E4">
          <w:rPr>
            <w:rFonts w:asciiTheme="majorHAnsi" w:eastAsia="Arial" w:hAnsiTheme="majorHAnsi" w:cstheme="majorHAnsi"/>
            <w:b/>
            <w:bCs/>
            <w:color w:val="3071C3" w:themeColor="text2" w:themeTint="BF"/>
            <w:kern w:val="24"/>
            <w:u w:val="single"/>
          </w:rPr>
          <w:t>300.304</w:t>
        </w:r>
      </w:hyperlink>
    </w:p>
    <w:p w14:paraId="5FCFC2BC" w14:textId="77777777" w:rsidR="00FF36E4" w:rsidRP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Document present levels functional development across all domains in the context of daily activities and routines  </w:t>
      </w:r>
      <w:r w:rsidRPr="00FF36E4">
        <w:rPr>
          <w:rFonts w:asciiTheme="majorHAnsi" w:eastAsia="Times New Roman" w:hAnsiTheme="majorHAnsi" w:cstheme="majorHAnsi"/>
          <w:b/>
          <w:bCs/>
        </w:rPr>
        <w:t xml:space="preserve">see IDEA regulations:  </w:t>
      </w:r>
      <w:hyperlink r:id="rId15" w:history="1">
        <w:r w:rsidRPr="00FF36E4">
          <w:rPr>
            <w:rStyle w:val="Hyperlink"/>
            <w:rFonts w:asciiTheme="majorHAnsi" w:eastAsia="Times New Roman" w:hAnsiTheme="majorHAnsi" w:cstheme="majorHAnsi"/>
            <w:b/>
            <w:bCs/>
          </w:rPr>
          <w:t>300.320/a/1</w:t>
        </w:r>
      </w:hyperlink>
    </w:p>
    <w:p w14:paraId="406E9AE3" w14:textId="77777777" w:rsidR="00FF36E4" w:rsidRP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Develop goals that are developmentally appropriate and functional that could be implemented and met across settings, including inclusive settings </w:t>
      </w:r>
      <w:r w:rsidRPr="00FF36E4">
        <w:rPr>
          <w:rFonts w:asciiTheme="majorHAnsi" w:eastAsia="Times New Roman" w:hAnsiTheme="majorHAnsi" w:cstheme="majorHAnsi"/>
          <w:b/>
          <w:bCs/>
        </w:rPr>
        <w:t xml:space="preserve">see IDEA regulations: </w:t>
      </w:r>
      <w:hyperlink r:id="rId16" w:history="1">
        <w:r w:rsidRPr="00FF36E4">
          <w:rPr>
            <w:rStyle w:val="Hyperlink"/>
            <w:rFonts w:asciiTheme="majorHAnsi" w:eastAsia="Times New Roman" w:hAnsiTheme="majorHAnsi" w:cstheme="majorHAnsi"/>
            <w:b/>
            <w:bCs/>
          </w:rPr>
          <w:t>300.320/a/2</w:t>
        </w:r>
      </w:hyperlink>
    </w:p>
    <w:p w14:paraId="7A47E1CD" w14:textId="77777777"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Discuss placement as a team including the parents </w:t>
      </w:r>
      <w:r w:rsidRPr="00FF36E4">
        <w:rPr>
          <w:rFonts w:asciiTheme="majorHAnsi" w:eastAsia="Times New Roman" w:hAnsiTheme="majorHAnsi" w:cstheme="majorHAnsi"/>
          <w:b/>
          <w:bCs/>
        </w:rPr>
        <w:t xml:space="preserve">see IDEA regulations: </w:t>
      </w:r>
      <w:hyperlink r:id="rId17" w:history="1">
        <w:r w:rsidRPr="00FF36E4">
          <w:rPr>
            <w:rStyle w:val="Hyperlink"/>
            <w:rFonts w:asciiTheme="majorHAnsi" w:eastAsia="Times New Roman" w:hAnsiTheme="majorHAnsi" w:cstheme="majorHAnsi"/>
            <w:b/>
            <w:bCs/>
          </w:rPr>
          <w:t>300.114/a/2</w:t>
        </w:r>
      </w:hyperlink>
      <w:r w:rsidRPr="00FF36E4">
        <w:rPr>
          <w:rFonts w:asciiTheme="majorHAnsi" w:eastAsia="Times New Roman" w:hAnsiTheme="majorHAnsi" w:cstheme="majorHAnsi"/>
          <w:b/>
          <w:bCs/>
          <w:color w:val="24B953"/>
        </w:rPr>
        <w:t xml:space="preserve">, </w:t>
      </w:r>
      <w:hyperlink r:id="rId18" w:history="1">
        <w:r w:rsidRPr="00FF36E4">
          <w:rPr>
            <w:rStyle w:val="Hyperlink"/>
            <w:rFonts w:asciiTheme="majorHAnsi" w:eastAsia="Times New Roman" w:hAnsiTheme="majorHAnsi" w:cstheme="majorHAnsi"/>
            <w:b/>
            <w:bCs/>
          </w:rPr>
          <w:t>300.115/a</w:t>
        </w:r>
      </w:hyperlink>
      <w:r w:rsidRPr="00FF36E4">
        <w:rPr>
          <w:rFonts w:asciiTheme="majorHAnsi" w:eastAsia="Times New Roman" w:hAnsiTheme="majorHAnsi" w:cstheme="majorHAnsi"/>
          <w:b/>
          <w:bCs/>
          <w:color w:val="24B953"/>
        </w:rPr>
        <w:t xml:space="preserve">, </w:t>
      </w:r>
      <w:hyperlink r:id="rId19" w:history="1">
        <w:r w:rsidRPr="00FF36E4">
          <w:rPr>
            <w:rStyle w:val="Hyperlink"/>
            <w:rFonts w:asciiTheme="majorHAnsi" w:eastAsia="Times New Roman" w:hAnsiTheme="majorHAnsi" w:cstheme="majorHAnsi"/>
            <w:b/>
            <w:bCs/>
          </w:rPr>
          <w:t>300.116</w:t>
        </w:r>
      </w:hyperlink>
    </w:p>
    <w:p w14:paraId="2796F75A" w14:textId="77777777"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Begin by discussing supplementary aids and services needed in the regular program, before considering other placements </w:t>
      </w:r>
      <w:r w:rsidRPr="00FF36E4">
        <w:rPr>
          <w:rFonts w:asciiTheme="majorHAnsi" w:eastAsia="Times New Roman" w:hAnsiTheme="majorHAnsi" w:cstheme="majorHAnsi"/>
          <w:b/>
          <w:bCs/>
        </w:rPr>
        <w:t>see IDEA regulations</w:t>
      </w:r>
      <w:r w:rsidRPr="00FF36E4">
        <w:rPr>
          <w:rFonts w:asciiTheme="majorHAnsi" w:eastAsia="Times New Roman" w:hAnsiTheme="majorHAnsi" w:cstheme="majorHAnsi"/>
        </w:rPr>
        <w:t xml:space="preserve">: </w:t>
      </w:r>
      <w:hyperlink r:id="rId20" w:history="1">
        <w:r w:rsidRPr="00FF36E4">
          <w:rPr>
            <w:rStyle w:val="Hyperlink"/>
            <w:rFonts w:asciiTheme="majorHAnsi" w:eastAsia="Times New Roman" w:hAnsiTheme="majorHAnsi" w:cstheme="majorHAnsi"/>
            <w:b/>
            <w:bCs/>
          </w:rPr>
          <w:t>300.320/a/4</w:t>
        </w:r>
      </w:hyperlink>
    </w:p>
    <w:p w14:paraId="0D19B71C" w14:textId="77777777"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Document the extent the child will participate with peers in the regular class </w:t>
      </w:r>
      <w:r w:rsidRPr="00FF36E4">
        <w:rPr>
          <w:rFonts w:asciiTheme="majorHAnsi" w:eastAsia="Times New Roman" w:hAnsiTheme="majorHAnsi" w:cstheme="majorHAnsi"/>
          <w:b/>
          <w:bCs/>
        </w:rPr>
        <w:t xml:space="preserve">see IDEA regulations: </w:t>
      </w:r>
      <w:hyperlink r:id="rId21" w:history="1">
        <w:r w:rsidRPr="00FF36E4">
          <w:rPr>
            <w:rStyle w:val="Hyperlink"/>
            <w:rFonts w:asciiTheme="majorHAnsi" w:eastAsia="Times New Roman" w:hAnsiTheme="majorHAnsi" w:cstheme="majorHAnsi"/>
            <w:b/>
            <w:bCs/>
          </w:rPr>
          <w:t>300.320/a/5</w:t>
        </w:r>
      </w:hyperlink>
    </w:p>
    <w:p w14:paraId="682D1ADF" w14:textId="148CC3B0"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Consider a regular early childhood placement a child may be attending</w:t>
      </w:r>
      <w:r w:rsidR="007F3BC7">
        <w:rPr>
          <w:rFonts w:asciiTheme="majorHAnsi" w:eastAsia="Times New Roman" w:hAnsiTheme="majorHAnsi" w:cstheme="majorHAnsi"/>
        </w:rPr>
        <w:t xml:space="preserve"> </w:t>
      </w:r>
    </w:p>
    <w:p w14:paraId="1AE10D40" w14:textId="77777777"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Consider transportation as a related service, if needed, </w:t>
      </w:r>
      <w:r w:rsidRPr="00FF36E4">
        <w:rPr>
          <w:rFonts w:asciiTheme="majorHAnsi" w:eastAsia="Times New Roman" w:hAnsiTheme="majorHAnsi" w:cstheme="majorHAnsi"/>
          <w:b/>
          <w:bCs/>
        </w:rPr>
        <w:t>see IDEA regulations</w:t>
      </w:r>
      <w:r w:rsidRPr="00FF36E4">
        <w:rPr>
          <w:rFonts w:asciiTheme="majorHAnsi" w:eastAsia="Times New Roman" w:hAnsiTheme="majorHAnsi" w:cstheme="majorHAnsi"/>
        </w:rPr>
        <w:t>:</w:t>
      </w:r>
      <w:r w:rsidRPr="00FF36E4">
        <w:rPr>
          <w:rFonts w:asciiTheme="majorHAnsi" w:eastAsia="Times New Roman" w:hAnsiTheme="majorHAnsi" w:cstheme="majorHAnsi"/>
          <w:color w:val="24B953"/>
        </w:rPr>
        <w:t xml:space="preserve"> </w:t>
      </w:r>
      <w:hyperlink r:id="rId22" w:history="1">
        <w:r w:rsidRPr="00FF36E4">
          <w:rPr>
            <w:rStyle w:val="Hyperlink"/>
            <w:rFonts w:asciiTheme="majorHAnsi" w:eastAsia="Times New Roman" w:hAnsiTheme="majorHAnsi" w:cstheme="majorHAnsi"/>
            <w:b/>
            <w:bCs/>
          </w:rPr>
          <w:t>300.34/a</w:t>
        </w:r>
      </w:hyperlink>
    </w:p>
    <w:p w14:paraId="14F1D55D" w14:textId="77777777" w:rsid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Consider benefits and any possible negative of effects of placements discussed, </w:t>
      </w:r>
      <w:r w:rsidRPr="00FF36E4">
        <w:rPr>
          <w:rFonts w:asciiTheme="majorHAnsi" w:eastAsia="Times New Roman" w:hAnsiTheme="majorHAnsi" w:cstheme="majorHAnsi"/>
          <w:b/>
          <w:bCs/>
        </w:rPr>
        <w:t xml:space="preserve">see IDEA regulations </w:t>
      </w:r>
      <w:hyperlink r:id="rId23" w:history="1">
        <w:r w:rsidRPr="00FF36E4">
          <w:rPr>
            <w:rStyle w:val="Hyperlink"/>
            <w:rFonts w:asciiTheme="majorHAnsi" w:eastAsia="Times New Roman" w:hAnsiTheme="majorHAnsi" w:cstheme="majorHAnsi"/>
            <w:b/>
            <w:bCs/>
          </w:rPr>
          <w:t>300.116</w:t>
        </w:r>
      </w:hyperlink>
    </w:p>
    <w:p w14:paraId="13D6FFD9" w14:textId="0C939618" w:rsidR="00FF36E4" w:rsidRPr="00FF36E4" w:rsidRDefault="00FF36E4" w:rsidP="00FF36E4">
      <w:pPr>
        <w:numPr>
          <w:ilvl w:val="0"/>
          <w:numId w:val="16"/>
        </w:numPr>
        <w:spacing w:line="276" w:lineRule="auto"/>
        <w:ind w:left="1080"/>
        <w:contextualSpacing/>
        <w:rPr>
          <w:rFonts w:asciiTheme="majorHAnsi" w:eastAsia="Times New Roman" w:hAnsiTheme="majorHAnsi" w:cstheme="majorHAnsi"/>
          <w:color w:val="24B953"/>
        </w:rPr>
      </w:pPr>
      <w:r w:rsidRPr="00FF36E4">
        <w:rPr>
          <w:rFonts w:asciiTheme="majorHAnsi" w:eastAsia="Times New Roman" w:hAnsiTheme="majorHAnsi" w:cstheme="majorHAnsi"/>
        </w:rPr>
        <w:t xml:space="preserve">Complete the prior written notice, </w:t>
      </w:r>
      <w:r w:rsidRPr="00FF36E4">
        <w:rPr>
          <w:rFonts w:asciiTheme="majorHAnsi" w:eastAsia="Times New Roman" w:hAnsiTheme="majorHAnsi" w:cstheme="majorHAnsi"/>
          <w:b/>
          <w:bCs/>
        </w:rPr>
        <w:t xml:space="preserve">see IDEA regulations: </w:t>
      </w:r>
      <w:hyperlink r:id="rId24" w:history="1">
        <w:r w:rsidRPr="00FF36E4">
          <w:rPr>
            <w:rStyle w:val="Hyperlink"/>
            <w:rFonts w:asciiTheme="majorHAnsi" w:eastAsia="Times New Roman" w:hAnsiTheme="majorHAnsi" w:cstheme="majorHAnsi"/>
            <w:b/>
            <w:bCs/>
          </w:rPr>
          <w:t>300.503</w:t>
        </w:r>
      </w:hyperlink>
    </w:p>
    <w:p w14:paraId="4F0822A1" w14:textId="77777777" w:rsidR="00FF36E4" w:rsidRDefault="00FF36E4" w:rsidP="00626E40">
      <w:pPr>
        <w:tabs>
          <w:tab w:val="left" w:pos="3456"/>
          <w:tab w:val="left" w:pos="5640"/>
        </w:tabs>
        <w:spacing w:line="276" w:lineRule="auto"/>
        <w:rPr>
          <w:rFonts w:asciiTheme="majorHAnsi" w:hAnsiTheme="majorHAnsi" w:cstheme="majorHAnsi"/>
          <w:b/>
          <w:color w:val="365F91" w:themeColor="accent1" w:themeShade="BF"/>
          <w:sz w:val="28"/>
          <w:szCs w:val="28"/>
        </w:rPr>
      </w:pPr>
    </w:p>
    <w:p w14:paraId="2E391A13" w14:textId="77777777" w:rsidR="00301338" w:rsidRDefault="00301338" w:rsidP="00FF36E4">
      <w:pPr>
        <w:tabs>
          <w:tab w:val="left" w:pos="3456"/>
          <w:tab w:val="left" w:pos="5640"/>
        </w:tabs>
        <w:spacing w:line="276" w:lineRule="auto"/>
        <w:jc w:val="center"/>
        <w:rPr>
          <w:rFonts w:asciiTheme="majorHAnsi" w:hAnsiTheme="majorHAnsi" w:cstheme="majorHAnsi"/>
          <w:b/>
          <w:color w:val="365F91" w:themeColor="accent1" w:themeShade="BF"/>
          <w:sz w:val="28"/>
          <w:szCs w:val="28"/>
        </w:rPr>
      </w:pPr>
    </w:p>
    <w:p w14:paraId="3F3FD529" w14:textId="79E05566" w:rsidR="00FF36E4" w:rsidRDefault="00FF36E4" w:rsidP="00FF36E4">
      <w:pPr>
        <w:tabs>
          <w:tab w:val="left" w:pos="3456"/>
          <w:tab w:val="left" w:pos="5640"/>
        </w:tabs>
        <w:spacing w:line="276" w:lineRule="auto"/>
        <w:jc w:val="center"/>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Making Sound Placement Decisions for Children 3-5</w:t>
      </w:r>
    </w:p>
    <w:p w14:paraId="0EE16A14" w14:textId="77777777" w:rsidR="00FF36E4" w:rsidRDefault="00FF36E4" w:rsidP="00FF36E4">
      <w:pPr>
        <w:tabs>
          <w:tab w:val="left" w:pos="3456"/>
          <w:tab w:val="left" w:pos="5640"/>
        </w:tabs>
        <w:spacing w:line="276" w:lineRule="auto"/>
        <w:jc w:val="center"/>
        <w:rPr>
          <w:rFonts w:asciiTheme="majorHAnsi" w:hAnsiTheme="majorHAnsi" w:cstheme="majorHAnsi"/>
          <w:b/>
          <w:color w:val="365F91" w:themeColor="accent1" w:themeShade="BF"/>
          <w:sz w:val="28"/>
          <w:szCs w:val="28"/>
        </w:rPr>
      </w:pPr>
    </w:p>
    <w:p w14:paraId="1632FF8E" w14:textId="23F6F705" w:rsidR="00D56478" w:rsidRDefault="00FF36E4" w:rsidP="00936600">
      <w:pPr>
        <w:spacing w:line="259" w:lineRule="auto"/>
        <w:rPr>
          <w:rFonts w:asciiTheme="majorHAnsi" w:hAnsiTheme="majorHAnsi" w:cstheme="majorHAnsi"/>
          <w:b/>
          <w:color w:val="365F91" w:themeColor="accent1" w:themeShade="BF"/>
          <w:sz w:val="28"/>
          <w:szCs w:val="28"/>
        </w:rPr>
      </w:pPr>
      <w:r>
        <w:rPr>
          <w:rFonts w:asciiTheme="majorHAnsi" w:hAnsiTheme="majorHAnsi" w:cstheme="majorHAnsi"/>
          <w:b/>
          <w:color w:val="365F91" w:themeColor="accent1" w:themeShade="BF"/>
          <w:sz w:val="28"/>
          <w:szCs w:val="28"/>
        </w:rPr>
        <w:t>Resources</w:t>
      </w:r>
    </w:p>
    <w:p w14:paraId="546F3436" w14:textId="4932DAB3" w:rsidR="00FF36E4" w:rsidRDefault="00FF36E4" w:rsidP="00936600">
      <w:pPr>
        <w:spacing w:line="259" w:lineRule="auto"/>
        <w:rPr>
          <w:rFonts w:asciiTheme="majorHAnsi" w:hAnsiTheme="majorHAnsi" w:cstheme="majorHAnsi"/>
          <w:b/>
          <w:color w:val="365F91" w:themeColor="accent1" w:themeShade="BF"/>
          <w:sz w:val="28"/>
          <w:szCs w:val="28"/>
        </w:rPr>
      </w:pPr>
    </w:p>
    <w:p w14:paraId="351719FE" w14:textId="1FB6AE26" w:rsidR="00FF36E4" w:rsidRPr="00FF36E4" w:rsidRDefault="00FF36E4" w:rsidP="00FF36E4">
      <w:pPr>
        <w:pStyle w:val="NormalWeb"/>
        <w:numPr>
          <w:ilvl w:val="0"/>
          <w:numId w:val="22"/>
        </w:numPr>
        <w:spacing w:before="0" w:beforeAutospacing="0" w:after="0" w:afterAutospacing="0"/>
        <w:rPr>
          <w:rFonts w:asciiTheme="majorHAnsi" w:hAnsiTheme="majorHAnsi" w:cstheme="majorHAnsi"/>
        </w:rPr>
      </w:pPr>
      <w:r w:rsidRPr="00FF36E4">
        <w:rPr>
          <w:rFonts w:asciiTheme="majorHAnsi" w:hAnsiTheme="majorHAnsi" w:cstheme="majorHAnsi"/>
        </w:rPr>
        <w:t xml:space="preserve">ECTA website: </w:t>
      </w:r>
      <w:hyperlink r:id="rId25" w:history="1">
        <w:r w:rsidRPr="00B06FB7">
          <w:rPr>
            <w:rFonts w:asciiTheme="majorHAnsi" w:eastAsiaTheme="minorEastAsia" w:hAnsiTheme="majorHAnsi" w:cstheme="majorHAnsi"/>
            <w:color w:val="3071C3" w:themeColor="text2" w:themeTint="BF"/>
            <w:kern w:val="24"/>
            <w:sz w:val="20"/>
            <w:szCs w:val="20"/>
            <w:u w:val="single"/>
          </w:rPr>
          <w:t>https://ectacenter.org/</w:t>
        </w:r>
      </w:hyperlink>
      <w:r>
        <w:rPr>
          <w:rFonts w:asciiTheme="majorHAnsi" w:eastAsiaTheme="minorEastAsia" w:hAnsiTheme="majorHAnsi" w:cstheme="majorHAnsi"/>
          <w:color w:val="3071C3" w:themeColor="text2" w:themeTint="BF"/>
          <w:kern w:val="24"/>
        </w:rPr>
        <w:t xml:space="preserve"> </w:t>
      </w:r>
    </w:p>
    <w:p w14:paraId="7449821E" w14:textId="07F718C3" w:rsidR="00FF36E4" w:rsidRDefault="00FF36E4" w:rsidP="00FF36E4">
      <w:pPr>
        <w:pStyle w:val="NormalWeb"/>
        <w:numPr>
          <w:ilvl w:val="1"/>
          <w:numId w:val="22"/>
        </w:numPr>
        <w:spacing w:before="0" w:beforeAutospacing="0" w:after="0" w:afterAutospacing="0"/>
        <w:rPr>
          <w:rFonts w:asciiTheme="majorHAnsi" w:hAnsiTheme="majorHAnsi" w:cstheme="majorHAnsi"/>
        </w:rPr>
      </w:pPr>
      <w:r>
        <w:rPr>
          <w:rFonts w:asciiTheme="majorHAnsi" w:hAnsiTheme="majorHAnsi" w:cstheme="majorHAnsi"/>
        </w:rPr>
        <w:t>Once there, use the search bar to find:</w:t>
      </w:r>
    </w:p>
    <w:p w14:paraId="2BF3E814" w14:textId="7E668952" w:rsidR="00FF36E4" w:rsidRDefault="00FF36E4" w:rsidP="00FF36E4">
      <w:pPr>
        <w:pStyle w:val="NormalWeb"/>
        <w:numPr>
          <w:ilvl w:val="1"/>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Inclusion Indicators</w:t>
      </w:r>
      <w:r w:rsidR="00B06FB7">
        <w:rPr>
          <w:rFonts w:asciiTheme="majorHAnsi" w:eastAsiaTheme="minorEastAsia" w:hAnsiTheme="majorHAnsi" w:cstheme="majorHAnsi"/>
          <w:color w:val="000000" w:themeColor="text1"/>
          <w:kern w:val="24"/>
        </w:rPr>
        <w:t xml:space="preserve">: </w:t>
      </w:r>
      <w:hyperlink r:id="rId26" w:history="1">
        <w:r w:rsidR="00B06FB7" w:rsidRPr="00B06FB7">
          <w:rPr>
            <w:rStyle w:val="Hyperlink"/>
            <w:rFonts w:asciiTheme="majorHAnsi" w:eastAsiaTheme="minorEastAsia" w:hAnsiTheme="majorHAnsi" w:cstheme="majorHAnsi"/>
            <w:kern w:val="24"/>
            <w:sz w:val="20"/>
            <w:szCs w:val="20"/>
          </w:rPr>
          <w:t>https://ectacenter.org/topics/inclusion/indicators.asp</w:t>
        </w:r>
      </w:hyperlink>
      <w:r w:rsidR="00B06FB7">
        <w:rPr>
          <w:rFonts w:asciiTheme="majorHAnsi" w:eastAsiaTheme="minorEastAsia" w:hAnsiTheme="majorHAnsi" w:cstheme="majorHAnsi"/>
          <w:color w:val="000000" w:themeColor="text1"/>
          <w:kern w:val="24"/>
        </w:rPr>
        <w:t xml:space="preserve"> </w:t>
      </w:r>
    </w:p>
    <w:p w14:paraId="1059D1C5" w14:textId="77777777" w:rsidR="00FF36E4" w:rsidRDefault="00FF36E4" w:rsidP="00FF36E4">
      <w:pPr>
        <w:pStyle w:val="NormalWeb"/>
        <w:numPr>
          <w:ilvl w:val="2"/>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State</w:t>
      </w:r>
    </w:p>
    <w:p w14:paraId="03EC8D60" w14:textId="77777777" w:rsidR="00FF36E4" w:rsidRDefault="00FF36E4" w:rsidP="00FF36E4">
      <w:pPr>
        <w:pStyle w:val="NormalWeb"/>
        <w:numPr>
          <w:ilvl w:val="2"/>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Program</w:t>
      </w:r>
    </w:p>
    <w:p w14:paraId="5B077A73" w14:textId="14D62BEB" w:rsidR="00FF36E4" w:rsidRPr="00B06FB7" w:rsidRDefault="00FF36E4" w:rsidP="00FF36E4">
      <w:pPr>
        <w:pStyle w:val="NormalWeb"/>
        <w:numPr>
          <w:ilvl w:val="2"/>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Environment/Class</w:t>
      </w:r>
    </w:p>
    <w:p w14:paraId="775F8FEA" w14:textId="6ADD555D" w:rsidR="00B06FB7" w:rsidRPr="00B06FB7" w:rsidRDefault="00B06FB7" w:rsidP="00B06FB7">
      <w:pPr>
        <w:pStyle w:val="NormalWeb"/>
        <w:numPr>
          <w:ilvl w:val="1"/>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 xml:space="preserve">Inclusion: </w:t>
      </w:r>
      <w:hyperlink r:id="rId27" w:history="1">
        <w:r w:rsidRPr="00B06FB7">
          <w:rPr>
            <w:rStyle w:val="Hyperlink"/>
            <w:rFonts w:asciiTheme="majorHAnsi" w:eastAsiaTheme="minorEastAsia" w:hAnsiTheme="majorHAnsi" w:cstheme="majorHAnsi"/>
            <w:kern w:val="24"/>
            <w:sz w:val="20"/>
            <w:szCs w:val="20"/>
          </w:rPr>
          <w:t>https://ectacenter.org/topi</w:t>
        </w:r>
        <w:r w:rsidRPr="00B06FB7">
          <w:rPr>
            <w:rStyle w:val="Hyperlink"/>
            <w:rFonts w:asciiTheme="majorHAnsi" w:eastAsiaTheme="minorEastAsia" w:hAnsiTheme="majorHAnsi" w:cstheme="majorHAnsi"/>
            <w:kern w:val="24"/>
            <w:sz w:val="20"/>
            <w:szCs w:val="20"/>
          </w:rPr>
          <w:t>c</w:t>
        </w:r>
        <w:r w:rsidRPr="00B06FB7">
          <w:rPr>
            <w:rStyle w:val="Hyperlink"/>
            <w:rFonts w:asciiTheme="majorHAnsi" w:eastAsiaTheme="minorEastAsia" w:hAnsiTheme="majorHAnsi" w:cstheme="majorHAnsi"/>
            <w:kern w:val="24"/>
            <w:sz w:val="20"/>
            <w:szCs w:val="20"/>
          </w:rPr>
          <w:t>s/inclusion/</w:t>
        </w:r>
      </w:hyperlink>
      <w:r>
        <w:rPr>
          <w:rFonts w:asciiTheme="majorHAnsi" w:eastAsiaTheme="minorEastAsia" w:hAnsiTheme="majorHAnsi" w:cstheme="majorHAnsi"/>
          <w:color w:val="000000" w:themeColor="text1"/>
          <w:kern w:val="24"/>
        </w:rPr>
        <w:t xml:space="preserve"> </w:t>
      </w:r>
    </w:p>
    <w:p w14:paraId="4820BB8F" w14:textId="0BECE958" w:rsidR="00B06FB7" w:rsidRPr="00B06FB7" w:rsidRDefault="00B06FB7" w:rsidP="00B06FB7">
      <w:pPr>
        <w:pStyle w:val="NormalWeb"/>
        <w:numPr>
          <w:ilvl w:val="2"/>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Laws and Guidance</w:t>
      </w:r>
    </w:p>
    <w:p w14:paraId="1AC07C9C" w14:textId="2D3C043B" w:rsidR="00B06FB7" w:rsidRPr="00B06FB7" w:rsidRDefault="00B06FB7" w:rsidP="00B06FB7">
      <w:pPr>
        <w:pStyle w:val="NormalWeb"/>
        <w:numPr>
          <w:ilvl w:val="2"/>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Tools</w:t>
      </w:r>
    </w:p>
    <w:p w14:paraId="23C27351" w14:textId="77A628D1" w:rsidR="00B06FB7" w:rsidRPr="00B06FB7" w:rsidRDefault="00B06FB7" w:rsidP="00B06FB7">
      <w:pPr>
        <w:pStyle w:val="NormalWeb"/>
        <w:numPr>
          <w:ilvl w:val="2"/>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State Examples</w:t>
      </w:r>
    </w:p>
    <w:p w14:paraId="3C78DAA7" w14:textId="09DB44FB" w:rsidR="00B06FB7" w:rsidRPr="00B06FB7" w:rsidRDefault="00B06FB7" w:rsidP="00B06FB7">
      <w:pPr>
        <w:pStyle w:val="NormalWeb"/>
        <w:numPr>
          <w:ilvl w:val="2"/>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Finance</w:t>
      </w:r>
    </w:p>
    <w:p w14:paraId="3BF214B2" w14:textId="7CF2E39D" w:rsidR="00B06FB7" w:rsidRPr="00B06FB7" w:rsidRDefault="00B06FB7" w:rsidP="00B06FB7">
      <w:pPr>
        <w:pStyle w:val="NormalWeb"/>
        <w:numPr>
          <w:ilvl w:val="2"/>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Professional Development</w:t>
      </w:r>
    </w:p>
    <w:p w14:paraId="44465B41" w14:textId="39C9EED0" w:rsidR="00B06FB7" w:rsidRPr="00FF36E4" w:rsidRDefault="00B06FB7" w:rsidP="00B06FB7">
      <w:pPr>
        <w:pStyle w:val="NormalWeb"/>
        <w:numPr>
          <w:ilvl w:val="1"/>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Key Principles and Practices in the IEP Process:</w:t>
      </w:r>
      <w:r w:rsidRPr="00B06FB7">
        <w:t xml:space="preserve"> </w:t>
      </w:r>
      <w:hyperlink r:id="rId28" w:history="1">
        <w:r w:rsidRPr="007045CE">
          <w:rPr>
            <w:rStyle w:val="Hyperlink"/>
            <w:rFonts w:asciiTheme="majorHAnsi" w:eastAsiaTheme="minorEastAsia" w:hAnsiTheme="majorHAnsi" w:cstheme="majorHAnsi"/>
            <w:kern w:val="24"/>
            <w:sz w:val="20"/>
            <w:szCs w:val="20"/>
          </w:rPr>
          <w:t>https://ectacenter.org/sec619/keyprinciples.asp</w:t>
        </w:r>
      </w:hyperlink>
      <w:r>
        <w:rPr>
          <w:rFonts w:asciiTheme="majorHAnsi" w:eastAsiaTheme="minorEastAsia" w:hAnsiTheme="majorHAnsi" w:cstheme="majorHAnsi"/>
          <w:color w:val="000000" w:themeColor="text1"/>
          <w:kern w:val="24"/>
          <w:sz w:val="20"/>
          <w:szCs w:val="20"/>
        </w:rPr>
        <w:t xml:space="preserve"> </w:t>
      </w:r>
      <w:r>
        <w:rPr>
          <w:rFonts w:asciiTheme="majorHAnsi" w:eastAsiaTheme="minorEastAsia" w:hAnsiTheme="majorHAnsi" w:cstheme="majorHAnsi"/>
          <w:color w:val="000000" w:themeColor="text1"/>
          <w:kern w:val="24"/>
        </w:rPr>
        <w:t xml:space="preserve">   </w:t>
      </w:r>
    </w:p>
    <w:p w14:paraId="439041A6" w14:textId="63D12DF7" w:rsidR="00FF36E4" w:rsidRDefault="00FF36E4" w:rsidP="00FF36E4">
      <w:pPr>
        <w:pStyle w:val="NormalWeb"/>
        <w:numPr>
          <w:ilvl w:val="1"/>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Rules, Regs, Memos</w:t>
      </w:r>
      <w:r w:rsidR="00B06FB7">
        <w:rPr>
          <w:rFonts w:asciiTheme="majorHAnsi" w:eastAsiaTheme="minorEastAsia" w:hAnsiTheme="majorHAnsi" w:cstheme="majorHAnsi"/>
          <w:color w:val="000000" w:themeColor="text1"/>
          <w:kern w:val="24"/>
        </w:rPr>
        <w:t xml:space="preserve">, General: </w:t>
      </w:r>
      <w:hyperlink r:id="rId29" w:history="1">
        <w:r w:rsidR="00B06FB7" w:rsidRPr="00B06FB7">
          <w:rPr>
            <w:rStyle w:val="Hyperlink"/>
            <w:rFonts w:asciiTheme="majorHAnsi" w:eastAsiaTheme="minorEastAsia" w:hAnsiTheme="majorHAnsi" w:cstheme="majorHAnsi"/>
            <w:kern w:val="24"/>
            <w:sz w:val="20"/>
            <w:szCs w:val="20"/>
          </w:rPr>
          <w:t>https://ectacenter.org/sec619/300regs.asp</w:t>
        </w:r>
      </w:hyperlink>
      <w:r w:rsidR="00B06FB7">
        <w:rPr>
          <w:rFonts w:asciiTheme="majorHAnsi" w:eastAsiaTheme="minorEastAsia" w:hAnsiTheme="majorHAnsi" w:cstheme="majorHAnsi"/>
          <w:color w:val="000000" w:themeColor="text1"/>
          <w:kern w:val="24"/>
        </w:rPr>
        <w:t xml:space="preserve"> </w:t>
      </w:r>
    </w:p>
    <w:p w14:paraId="5FAB7C57" w14:textId="0DBC84A0" w:rsidR="00FF36E4" w:rsidRPr="00B06FB7" w:rsidRDefault="00FF36E4" w:rsidP="00FF36E4">
      <w:pPr>
        <w:pStyle w:val="NormalWeb"/>
        <w:numPr>
          <w:ilvl w:val="1"/>
          <w:numId w:val="22"/>
        </w:numPr>
        <w:spacing w:before="0" w:beforeAutospacing="0" w:after="0" w:afterAutospacing="0"/>
        <w:rPr>
          <w:rFonts w:asciiTheme="majorHAnsi" w:hAnsiTheme="majorHAnsi" w:cstheme="majorHAnsi"/>
        </w:rPr>
      </w:pPr>
      <w:r w:rsidRPr="00FF36E4">
        <w:rPr>
          <w:rFonts w:asciiTheme="majorHAnsi" w:eastAsiaTheme="minorEastAsia" w:hAnsiTheme="majorHAnsi" w:cstheme="majorHAnsi"/>
          <w:color w:val="000000" w:themeColor="text1"/>
          <w:kern w:val="24"/>
        </w:rPr>
        <w:t>DEC Recommended Practices</w:t>
      </w:r>
      <w:r w:rsidR="00B06FB7">
        <w:rPr>
          <w:rFonts w:asciiTheme="majorHAnsi" w:eastAsiaTheme="minorEastAsia" w:hAnsiTheme="majorHAnsi" w:cstheme="majorHAnsi"/>
          <w:color w:val="000000" w:themeColor="text1"/>
          <w:kern w:val="24"/>
        </w:rPr>
        <w:t xml:space="preserve">: </w:t>
      </w:r>
      <w:hyperlink r:id="rId30" w:history="1">
        <w:r w:rsidR="00B06FB7" w:rsidRPr="007045CE">
          <w:rPr>
            <w:rStyle w:val="Hyperlink"/>
            <w:rFonts w:asciiTheme="majorHAnsi" w:eastAsiaTheme="minorEastAsia" w:hAnsiTheme="majorHAnsi" w:cstheme="majorHAnsi"/>
            <w:kern w:val="24"/>
            <w:sz w:val="20"/>
            <w:szCs w:val="20"/>
          </w:rPr>
          <w:t>https://www.dec-sped.org/dec-recommended-practices</w:t>
        </w:r>
      </w:hyperlink>
    </w:p>
    <w:p w14:paraId="4870E600" w14:textId="7784E87C" w:rsidR="00B06FB7" w:rsidRDefault="00B06FB7" w:rsidP="00FF36E4">
      <w:pPr>
        <w:pStyle w:val="NormalWeb"/>
        <w:numPr>
          <w:ilvl w:val="1"/>
          <w:numId w:val="22"/>
        </w:numPr>
        <w:spacing w:before="0" w:beforeAutospacing="0" w:after="0" w:afterAutospacing="0"/>
        <w:rPr>
          <w:rFonts w:asciiTheme="majorHAnsi" w:hAnsiTheme="majorHAnsi" w:cstheme="majorHAnsi"/>
          <w:sz w:val="20"/>
          <w:szCs w:val="20"/>
        </w:rPr>
      </w:pPr>
      <w:r>
        <w:rPr>
          <w:rFonts w:asciiTheme="majorHAnsi" w:eastAsiaTheme="minorEastAsia" w:hAnsiTheme="majorHAnsi" w:cstheme="majorHAnsi"/>
          <w:color w:val="000000" w:themeColor="text1"/>
          <w:kern w:val="24"/>
        </w:rPr>
        <w:t>ECTA Recommended Practice Tools:</w:t>
      </w:r>
      <w:r>
        <w:rPr>
          <w:rFonts w:asciiTheme="majorHAnsi" w:hAnsiTheme="majorHAnsi" w:cstheme="majorHAnsi"/>
        </w:rPr>
        <w:t xml:space="preserve"> </w:t>
      </w:r>
      <w:hyperlink r:id="rId31" w:history="1">
        <w:r w:rsidRPr="007045CE">
          <w:rPr>
            <w:rStyle w:val="Hyperlink"/>
            <w:rFonts w:asciiTheme="majorHAnsi" w:hAnsiTheme="majorHAnsi" w:cstheme="majorHAnsi"/>
            <w:sz w:val="20"/>
            <w:szCs w:val="20"/>
          </w:rPr>
          <w:t>https://ectacenter.org/decrp/</w:t>
        </w:r>
      </w:hyperlink>
      <w:r>
        <w:rPr>
          <w:rFonts w:asciiTheme="majorHAnsi" w:hAnsiTheme="majorHAnsi" w:cstheme="majorHAnsi"/>
          <w:sz w:val="20"/>
          <w:szCs w:val="20"/>
        </w:rPr>
        <w:t xml:space="preserve"> </w:t>
      </w:r>
    </w:p>
    <w:p w14:paraId="40D7D109" w14:textId="157E6ED1" w:rsidR="00B06FB7" w:rsidRPr="00B06FB7" w:rsidRDefault="00B06FB7" w:rsidP="00B06FB7">
      <w:pPr>
        <w:pStyle w:val="NormalWeb"/>
        <w:numPr>
          <w:ilvl w:val="2"/>
          <w:numId w:val="22"/>
        </w:numPr>
        <w:spacing w:before="0" w:beforeAutospacing="0" w:after="0" w:afterAutospacing="0"/>
        <w:rPr>
          <w:rFonts w:asciiTheme="majorHAnsi" w:hAnsiTheme="majorHAnsi" w:cstheme="majorHAnsi"/>
          <w:sz w:val="20"/>
          <w:szCs w:val="20"/>
        </w:rPr>
      </w:pPr>
      <w:r>
        <w:rPr>
          <w:rFonts w:asciiTheme="majorHAnsi" w:eastAsiaTheme="minorEastAsia" w:hAnsiTheme="majorHAnsi" w:cstheme="majorHAnsi"/>
          <w:color w:val="000000" w:themeColor="text1"/>
          <w:kern w:val="24"/>
        </w:rPr>
        <w:t>On line modules</w:t>
      </w:r>
    </w:p>
    <w:p w14:paraId="37BA3CCC" w14:textId="77777777" w:rsidR="00FF36E4" w:rsidRPr="00B06FB7" w:rsidRDefault="00FF36E4" w:rsidP="00FF36E4">
      <w:pPr>
        <w:pStyle w:val="NormalWeb"/>
        <w:spacing w:before="0" w:beforeAutospacing="0" w:after="0" w:afterAutospacing="0"/>
        <w:ind w:left="1440"/>
        <w:rPr>
          <w:rFonts w:asciiTheme="majorHAnsi" w:hAnsiTheme="majorHAnsi" w:cstheme="majorHAnsi"/>
          <w:sz w:val="20"/>
          <w:szCs w:val="20"/>
        </w:rPr>
      </w:pPr>
    </w:p>
    <w:p w14:paraId="6F378E40" w14:textId="66FD551A" w:rsidR="00FF36E4" w:rsidRPr="00FF36E4" w:rsidRDefault="00FF36E4" w:rsidP="00FF36E4">
      <w:pPr>
        <w:pStyle w:val="NormalWeb"/>
        <w:numPr>
          <w:ilvl w:val="0"/>
          <w:numId w:val="22"/>
        </w:numPr>
        <w:spacing w:before="0" w:beforeAutospacing="0" w:after="0" w:afterAutospacing="0"/>
        <w:rPr>
          <w:rFonts w:asciiTheme="majorHAnsi" w:hAnsiTheme="majorHAnsi" w:cstheme="majorHAnsi"/>
        </w:rPr>
      </w:pPr>
      <w:r>
        <w:rPr>
          <w:rFonts w:asciiTheme="majorHAnsi" w:eastAsiaTheme="minorEastAsia" w:hAnsiTheme="majorHAnsi" w:cstheme="majorHAnsi"/>
          <w:color w:val="000000" w:themeColor="text1"/>
          <w:kern w:val="24"/>
        </w:rPr>
        <w:t>U.S. Department of Education website,</w:t>
      </w:r>
      <w:r w:rsidRPr="00FF36E4">
        <w:rPr>
          <w:rFonts w:asciiTheme="majorHAnsi" w:eastAsiaTheme="minorEastAsia" w:hAnsiTheme="majorHAnsi" w:cstheme="majorHAnsi"/>
          <w:color w:val="000000" w:themeColor="text1"/>
          <w:kern w:val="24"/>
        </w:rPr>
        <w:t xml:space="preserve"> </w:t>
      </w:r>
      <w:r>
        <w:rPr>
          <w:rFonts w:asciiTheme="majorHAnsi" w:eastAsiaTheme="minorEastAsia" w:hAnsiTheme="majorHAnsi" w:cstheme="majorHAnsi"/>
          <w:color w:val="000000" w:themeColor="text1"/>
          <w:kern w:val="24"/>
        </w:rPr>
        <w:t xml:space="preserve">Individuals with Disabilities Education Act: </w:t>
      </w:r>
      <w:hyperlink r:id="rId32" w:history="1">
        <w:r w:rsidRPr="00B06FB7">
          <w:rPr>
            <w:rStyle w:val="Hyperlink"/>
            <w:rFonts w:asciiTheme="majorHAnsi" w:eastAsiaTheme="minorEastAsia" w:hAnsiTheme="majorHAnsi" w:cstheme="majorHAnsi"/>
            <w:kern w:val="24"/>
            <w:sz w:val="20"/>
            <w:szCs w:val="20"/>
          </w:rPr>
          <w:t>https://sites.ed.gov/idea/</w:t>
        </w:r>
      </w:hyperlink>
      <w:r>
        <w:rPr>
          <w:rFonts w:asciiTheme="majorHAnsi" w:eastAsiaTheme="minorEastAsia" w:hAnsiTheme="majorHAnsi" w:cstheme="majorHAnsi"/>
          <w:color w:val="000000" w:themeColor="text1"/>
          <w:kern w:val="24"/>
        </w:rPr>
        <w:t xml:space="preserve"> </w:t>
      </w:r>
    </w:p>
    <w:p w14:paraId="70E95619" w14:textId="4EFD0F0F" w:rsidR="00FF36E4" w:rsidRPr="00B06FB7" w:rsidRDefault="00FF36E4" w:rsidP="00FF36E4">
      <w:pPr>
        <w:pStyle w:val="NormalWeb"/>
        <w:numPr>
          <w:ilvl w:val="1"/>
          <w:numId w:val="22"/>
        </w:numPr>
        <w:spacing w:before="0" w:beforeAutospacing="0" w:after="0" w:afterAutospacing="0"/>
        <w:rPr>
          <w:rFonts w:asciiTheme="majorHAnsi" w:hAnsiTheme="majorHAnsi" w:cstheme="majorHAnsi"/>
          <w:sz w:val="20"/>
          <w:szCs w:val="20"/>
        </w:rPr>
      </w:pPr>
      <w:r>
        <w:rPr>
          <w:rFonts w:asciiTheme="majorHAnsi" w:eastAsiaTheme="minorEastAsia" w:hAnsiTheme="majorHAnsi" w:cstheme="majorHAnsi"/>
          <w:color w:val="000000" w:themeColor="text1"/>
          <w:kern w:val="24"/>
        </w:rPr>
        <w:t xml:space="preserve">Statute and Regulations: </w:t>
      </w:r>
      <w:hyperlink r:id="rId33" w:history="1">
        <w:r w:rsidRPr="00B06FB7">
          <w:rPr>
            <w:rStyle w:val="Hyperlink"/>
            <w:rFonts w:asciiTheme="majorHAnsi" w:eastAsiaTheme="minorEastAsia" w:hAnsiTheme="majorHAnsi" w:cstheme="majorHAnsi"/>
            <w:kern w:val="24"/>
            <w:sz w:val="20"/>
            <w:szCs w:val="20"/>
          </w:rPr>
          <w:t>https://sites.ed.gov/idea/statuteregulations/</w:t>
        </w:r>
      </w:hyperlink>
      <w:r w:rsidRPr="00B06FB7">
        <w:rPr>
          <w:rFonts w:asciiTheme="majorHAnsi" w:eastAsiaTheme="minorEastAsia" w:hAnsiTheme="majorHAnsi" w:cstheme="majorHAnsi"/>
          <w:color w:val="000000" w:themeColor="text1"/>
          <w:kern w:val="24"/>
          <w:sz w:val="20"/>
          <w:szCs w:val="20"/>
        </w:rPr>
        <w:t xml:space="preserve"> </w:t>
      </w:r>
    </w:p>
    <w:p w14:paraId="47B67403" w14:textId="77777777" w:rsidR="00FF36E4" w:rsidRPr="00B06FB7" w:rsidRDefault="00FF36E4" w:rsidP="00FF36E4">
      <w:pPr>
        <w:pStyle w:val="NormalWeb"/>
        <w:spacing w:before="0" w:beforeAutospacing="0" w:after="0" w:afterAutospacing="0"/>
        <w:ind w:left="1440"/>
        <w:rPr>
          <w:rFonts w:asciiTheme="majorHAnsi" w:hAnsiTheme="majorHAnsi" w:cstheme="majorHAnsi"/>
          <w:sz w:val="20"/>
          <w:szCs w:val="20"/>
        </w:rPr>
      </w:pPr>
    </w:p>
    <w:p w14:paraId="3EFCF220" w14:textId="2D7DA631" w:rsidR="00FF36E4" w:rsidRPr="00FF36E4" w:rsidRDefault="00881484" w:rsidP="008F36ED">
      <w:pPr>
        <w:pStyle w:val="ListParagraph"/>
        <w:numPr>
          <w:ilvl w:val="0"/>
          <w:numId w:val="21"/>
        </w:numPr>
        <w:spacing w:line="259" w:lineRule="auto"/>
        <w:rPr>
          <w:rFonts w:asciiTheme="majorHAnsi" w:hAnsiTheme="majorHAnsi" w:cstheme="majorHAnsi"/>
        </w:rPr>
      </w:pPr>
      <w:hyperlink r:id="rId34" w:history="1">
        <w:r w:rsidR="00FF36E4" w:rsidRPr="00FF36E4">
          <w:rPr>
            <w:rFonts w:asciiTheme="majorHAnsi" w:eastAsia="Arial" w:hAnsiTheme="majorHAnsi" w:cstheme="majorHAnsi"/>
            <w:bCs/>
            <w:kern w:val="24"/>
          </w:rPr>
          <w:t>OSEP Dear Colleague Letter – Preschool LRE</w:t>
        </w:r>
      </w:hyperlink>
      <w:r w:rsidR="00FF36E4" w:rsidRPr="00FF36E4">
        <w:rPr>
          <w:rFonts w:asciiTheme="majorHAnsi" w:eastAsia="Arial" w:hAnsiTheme="majorHAnsi" w:cstheme="majorHAnsi"/>
          <w:bCs/>
          <w:kern w:val="24"/>
        </w:rPr>
        <w:t>:</w:t>
      </w:r>
      <w:r w:rsidR="00FF36E4" w:rsidRPr="00FF36E4">
        <w:rPr>
          <w:rFonts w:asciiTheme="majorHAnsi" w:eastAsia="Arial" w:hAnsiTheme="majorHAnsi" w:cstheme="majorHAnsi"/>
          <w:b/>
          <w:bCs/>
          <w:kern w:val="24"/>
        </w:rPr>
        <w:t xml:space="preserve"> </w:t>
      </w:r>
      <w:hyperlink r:id="rId35" w:history="1">
        <w:r w:rsidR="00FF36E4" w:rsidRPr="00B06FB7">
          <w:rPr>
            <w:rStyle w:val="Hyperlink"/>
            <w:rFonts w:asciiTheme="majorHAnsi" w:eastAsia="Arial" w:hAnsiTheme="majorHAnsi" w:cstheme="majorHAnsi"/>
            <w:bCs/>
            <w:kern w:val="24"/>
            <w:sz w:val="20"/>
            <w:szCs w:val="20"/>
            <w14:textFill>
              <w14:solidFill>
                <w14:srgbClr w14:val="0000FF">
                  <w14:lumMod w14:val="75000"/>
                  <w14:lumOff w14:val="25000"/>
                </w14:srgbClr>
              </w14:solidFill>
            </w14:textFill>
          </w:rPr>
          <w:t>https://www2.ed.gov/policy/speced/guid/idea/memosdcltrs/preschool-lre-dcl-1-10-17.pdf</w:t>
        </w:r>
      </w:hyperlink>
      <w:r w:rsidR="00FF36E4" w:rsidRPr="00B06FB7">
        <w:rPr>
          <w:rFonts w:asciiTheme="majorHAnsi" w:eastAsia="Arial" w:hAnsiTheme="majorHAnsi" w:cstheme="majorHAnsi"/>
          <w:b/>
          <w:bCs/>
          <w:color w:val="3071C3" w:themeColor="text2" w:themeTint="BF"/>
          <w:kern w:val="24"/>
          <w:sz w:val="32"/>
        </w:rPr>
        <w:t xml:space="preserve"> </w:t>
      </w:r>
    </w:p>
    <w:p w14:paraId="485D65DD" w14:textId="77777777" w:rsidR="00FF36E4" w:rsidRPr="00FF36E4" w:rsidRDefault="00FF36E4" w:rsidP="00FF36E4">
      <w:pPr>
        <w:pStyle w:val="ListParagraph"/>
        <w:spacing w:line="259" w:lineRule="auto"/>
        <w:rPr>
          <w:rFonts w:asciiTheme="majorHAnsi" w:hAnsiTheme="majorHAnsi" w:cstheme="majorHAnsi"/>
        </w:rPr>
      </w:pPr>
    </w:p>
    <w:p w14:paraId="74DAC812" w14:textId="187FD333" w:rsidR="00FF36E4" w:rsidRPr="00D8384F" w:rsidRDefault="00881484" w:rsidP="008F36ED">
      <w:pPr>
        <w:pStyle w:val="ListParagraph"/>
        <w:numPr>
          <w:ilvl w:val="0"/>
          <w:numId w:val="21"/>
        </w:numPr>
        <w:spacing w:line="259" w:lineRule="auto"/>
        <w:rPr>
          <w:rStyle w:val="Hyperlink"/>
          <w:rFonts w:asciiTheme="majorHAnsi" w:hAnsiTheme="majorHAnsi" w:cstheme="majorHAnsi"/>
          <w:color w:val="auto"/>
          <w:u w:val="none"/>
        </w:rPr>
      </w:pPr>
      <w:hyperlink r:id="rId36" w:history="1">
        <w:r w:rsidR="00FF36E4" w:rsidRPr="00FF36E4">
          <w:rPr>
            <w:rFonts w:asciiTheme="majorHAnsi" w:eastAsia="Arial" w:hAnsiTheme="majorHAnsi" w:cstheme="majorHAnsi"/>
            <w:bCs/>
            <w:kern w:val="24"/>
          </w:rPr>
          <w:t>HHS and ED Policy Statement on Inclusion of Children with Disabilities in Early Childhood Programs</w:t>
        </w:r>
      </w:hyperlink>
      <w:r w:rsidR="00FF36E4">
        <w:rPr>
          <w:rFonts w:asciiTheme="majorHAnsi" w:eastAsia="Arial" w:hAnsiTheme="majorHAnsi" w:cstheme="majorHAnsi"/>
          <w:b/>
          <w:bCs/>
          <w:color w:val="3071C3" w:themeColor="text2" w:themeTint="BF"/>
          <w:kern w:val="24"/>
        </w:rPr>
        <w:t xml:space="preserve">: </w:t>
      </w:r>
      <w:hyperlink r:id="rId37" w:history="1">
        <w:r w:rsidR="00FF36E4" w:rsidRPr="00B06FB7">
          <w:rPr>
            <w:rStyle w:val="Hyperlink"/>
            <w:rFonts w:asciiTheme="majorHAnsi" w:eastAsia="Arial" w:hAnsiTheme="majorHAnsi" w:cstheme="majorHAnsi"/>
            <w:bCs/>
            <w:kern w:val="24"/>
            <w:sz w:val="20"/>
            <w:szCs w:val="20"/>
          </w:rPr>
          <w:t>https://www2.ed.gov/policy/speced/guid/earlylearning/joint-statement-full-text.pdf</w:t>
        </w:r>
      </w:hyperlink>
    </w:p>
    <w:p w14:paraId="7DD88437" w14:textId="77777777" w:rsidR="00D8384F" w:rsidRPr="00D8384F" w:rsidRDefault="00D8384F" w:rsidP="00D8384F">
      <w:pPr>
        <w:pStyle w:val="ListParagraph"/>
        <w:rPr>
          <w:rFonts w:asciiTheme="majorHAnsi" w:hAnsiTheme="majorHAnsi" w:cstheme="majorHAnsi"/>
        </w:rPr>
      </w:pPr>
    </w:p>
    <w:sectPr w:rsidR="00D8384F" w:rsidRPr="00D8384F" w:rsidSect="00005965">
      <w:headerReference w:type="default" r:id="rId38"/>
      <w:footerReference w:type="default" r:id="rId39"/>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088B" w14:textId="77777777" w:rsidR="00881484" w:rsidRDefault="00881484" w:rsidP="002829DE">
      <w:r>
        <w:separator/>
      </w:r>
    </w:p>
  </w:endnote>
  <w:endnote w:type="continuationSeparator" w:id="0">
    <w:p w14:paraId="0F6CB8AA" w14:textId="77777777" w:rsidR="00881484" w:rsidRDefault="00881484" w:rsidP="0028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88651"/>
      <w:docPartObj>
        <w:docPartGallery w:val="Page Numbers (Bottom of Page)"/>
        <w:docPartUnique/>
      </w:docPartObj>
    </w:sdtPr>
    <w:sdtEndPr>
      <w:rPr>
        <w:noProof/>
      </w:rPr>
    </w:sdtEndPr>
    <w:sdtContent>
      <w:p w14:paraId="26F667C4" w14:textId="1571AD4C" w:rsidR="00925635" w:rsidRDefault="009256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DED2A" w14:textId="77777777" w:rsidR="00A11C0A" w:rsidRPr="003D064F" w:rsidRDefault="00A11C0A" w:rsidP="00005965">
    <w:pPr>
      <w:pStyle w:val="Footer"/>
      <w:jc w:val="center"/>
      <w:rPr>
        <w:rFonts w:ascii="Helvetica" w:hAnsi="Helvetica"/>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D6DDF" w14:textId="77777777" w:rsidR="00881484" w:rsidRDefault="00881484" w:rsidP="002829DE">
      <w:r>
        <w:separator/>
      </w:r>
    </w:p>
  </w:footnote>
  <w:footnote w:type="continuationSeparator" w:id="0">
    <w:p w14:paraId="04A1EB2C" w14:textId="77777777" w:rsidR="00881484" w:rsidRDefault="00881484" w:rsidP="0028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AC1E" w14:textId="59D28F5E" w:rsidR="00A11C0A" w:rsidRDefault="00A11C0A" w:rsidP="003D064F">
    <w:pPr>
      <w:pStyle w:val="Header"/>
    </w:pPr>
    <w:r>
      <w:rPr>
        <w:noProof/>
      </w:rPr>
      <w:drawing>
        <wp:inline distT="0" distB="0" distL="0" distR="0" wp14:anchorId="7DD2E3F5" wp14:editId="3753EF2C">
          <wp:extent cx="5486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ta-logo-2018-spellout.wmf"/>
                  <pic:cNvPicPr/>
                </pic:nvPicPr>
                <pic:blipFill>
                  <a:blip r:embed="rId1"/>
                  <a:stretch>
                    <a:fillRect/>
                  </a:stretch>
                </pic:blipFill>
                <pic:spPr>
                  <a:xfrm>
                    <a:off x="0" y="0"/>
                    <a:ext cx="5486400" cy="914400"/>
                  </a:xfrm>
                  <a:prstGeom prst="rect">
                    <a:avLst/>
                  </a:prstGeom>
                </pic:spPr>
              </pic:pic>
            </a:graphicData>
          </a:graphic>
        </wp:inline>
      </w:drawing>
    </w:r>
  </w:p>
  <w:p w14:paraId="5238BE07" w14:textId="66DB069B" w:rsidR="00A11C0A" w:rsidRPr="003D064F" w:rsidRDefault="00A11C0A" w:rsidP="003D064F">
    <w:pPr>
      <w:rPr>
        <w:rFonts w:ascii="Arial" w:eastAsia="Times New Roman" w:hAnsi="Arial" w:cs="Arial"/>
        <w:color w:val="404040" w:themeColor="text1" w:themeTint="BF"/>
        <w:sz w:val="21"/>
        <w:szCs w:val="21"/>
      </w:rPr>
    </w:pPr>
    <w:r w:rsidRPr="003D064F">
      <w:rPr>
        <w:rFonts w:ascii="Arial" w:eastAsia="Times New Roman" w:hAnsi="Arial" w:cs="Arial"/>
        <w:color w:val="404040" w:themeColor="text1" w:themeTint="BF"/>
        <w:sz w:val="21"/>
        <w:szCs w:val="21"/>
      </w:rPr>
      <w:t>Improving Systems, Practices and Outcomes for Young Children with Disabilities and Their Families</w:t>
    </w:r>
  </w:p>
  <w:p w14:paraId="2176FCEA" w14:textId="77777777" w:rsidR="00A11C0A" w:rsidRDefault="00A11C0A" w:rsidP="002764BE">
    <w:pPr>
      <w:pBdr>
        <w:bottom w:val="dotted" w:sz="4" w:space="1" w:color="auto"/>
      </w:pBdr>
      <w:spacing w:after="120"/>
      <w:jc w:val="center"/>
      <w:rPr>
        <w:rFonts w:ascii="Times" w:eastAsia="Times New Roman" w:hAnsi="Times" w:cs="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CA9"/>
    <w:multiLevelType w:val="hybridMultilevel"/>
    <w:tmpl w:val="D15A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A7AC7"/>
    <w:multiLevelType w:val="hybridMultilevel"/>
    <w:tmpl w:val="F28C7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C94"/>
    <w:multiLevelType w:val="hybridMultilevel"/>
    <w:tmpl w:val="31D8723E"/>
    <w:lvl w:ilvl="0" w:tplc="1F460BF8">
      <w:start w:val="1"/>
      <w:numFmt w:val="bullet"/>
      <w:lvlText w:val=""/>
      <w:lvlJc w:val="left"/>
      <w:pPr>
        <w:tabs>
          <w:tab w:val="num" w:pos="720"/>
        </w:tabs>
        <w:ind w:left="720" w:hanging="360"/>
      </w:pPr>
      <w:rPr>
        <w:rFonts w:ascii="Wingdings" w:hAnsi="Wingdings" w:hint="default"/>
      </w:rPr>
    </w:lvl>
    <w:lvl w:ilvl="1" w:tplc="A418A0B6" w:tentative="1">
      <w:start w:val="1"/>
      <w:numFmt w:val="bullet"/>
      <w:lvlText w:val=""/>
      <w:lvlJc w:val="left"/>
      <w:pPr>
        <w:tabs>
          <w:tab w:val="num" w:pos="1440"/>
        </w:tabs>
        <w:ind w:left="1440" w:hanging="360"/>
      </w:pPr>
      <w:rPr>
        <w:rFonts w:ascii="Wingdings" w:hAnsi="Wingdings" w:hint="default"/>
      </w:rPr>
    </w:lvl>
    <w:lvl w:ilvl="2" w:tplc="CF7204CE" w:tentative="1">
      <w:start w:val="1"/>
      <w:numFmt w:val="bullet"/>
      <w:lvlText w:val=""/>
      <w:lvlJc w:val="left"/>
      <w:pPr>
        <w:tabs>
          <w:tab w:val="num" w:pos="2160"/>
        </w:tabs>
        <w:ind w:left="2160" w:hanging="360"/>
      </w:pPr>
      <w:rPr>
        <w:rFonts w:ascii="Wingdings" w:hAnsi="Wingdings" w:hint="default"/>
      </w:rPr>
    </w:lvl>
    <w:lvl w:ilvl="3" w:tplc="D4EE3C64" w:tentative="1">
      <w:start w:val="1"/>
      <w:numFmt w:val="bullet"/>
      <w:lvlText w:val=""/>
      <w:lvlJc w:val="left"/>
      <w:pPr>
        <w:tabs>
          <w:tab w:val="num" w:pos="2880"/>
        </w:tabs>
        <w:ind w:left="2880" w:hanging="360"/>
      </w:pPr>
      <w:rPr>
        <w:rFonts w:ascii="Wingdings" w:hAnsi="Wingdings" w:hint="default"/>
      </w:rPr>
    </w:lvl>
    <w:lvl w:ilvl="4" w:tplc="1BA274B8" w:tentative="1">
      <w:start w:val="1"/>
      <w:numFmt w:val="bullet"/>
      <w:lvlText w:val=""/>
      <w:lvlJc w:val="left"/>
      <w:pPr>
        <w:tabs>
          <w:tab w:val="num" w:pos="3600"/>
        </w:tabs>
        <w:ind w:left="3600" w:hanging="360"/>
      </w:pPr>
      <w:rPr>
        <w:rFonts w:ascii="Wingdings" w:hAnsi="Wingdings" w:hint="default"/>
      </w:rPr>
    </w:lvl>
    <w:lvl w:ilvl="5" w:tplc="2A56A728" w:tentative="1">
      <w:start w:val="1"/>
      <w:numFmt w:val="bullet"/>
      <w:lvlText w:val=""/>
      <w:lvlJc w:val="left"/>
      <w:pPr>
        <w:tabs>
          <w:tab w:val="num" w:pos="4320"/>
        </w:tabs>
        <w:ind w:left="4320" w:hanging="360"/>
      </w:pPr>
      <w:rPr>
        <w:rFonts w:ascii="Wingdings" w:hAnsi="Wingdings" w:hint="default"/>
      </w:rPr>
    </w:lvl>
    <w:lvl w:ilvl="6" w:tplc="125C960A" w:tentative="1">
      <w:start w:val="1"/>
      <w:numFmt w:val="bullet"/>
      <w:lvlText w:val=""/>
      <w:lvlJc w:val="left"/>
      <w:pPr>
        <w:tabs>
          <w:tab w:val="num" w:pos="5040"/>
        </w:tabs>
        <w:ind w:left="5040" w:hanging="360"/>
      </w:pPr>
      <w:rPr>
        <w:rFonts w:ascii="Wingdings" w:hAnsi="Wingdings" w:hint="default"/>
      </w:rPr>
    </w:lvl>
    <w:lvl w:ilvl="7" w:tplc="728A8084" w:tentative="1">
      <w:start w:val="1"/>
      <w:numFmt w:val="bullet"/>
      <w:lvlText w:val=""/>
      <w:lvlJc w:val="left"/>
      <w:pPr>
        <w:tabs>
          <w:tab w:val="num" w:pos="5760"/>
        </w:tabs>
        <w:ind w:left="5760" w:hanging="360"/>
      </w:pPr>
      <w:rPr>
        <w:rFonts w:ascii="Wingdings" w:hAnsi="Wingdings" w:hint="default"/>
      </w:rPr>
    </w:lvl>
    <w:lvl w:ilvl="8" w:tplc="E41C8D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D08C0"/>
    <w:multiLevelType w:val="hybridMultilevel"/>
    <w:tmpl w:val="493C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227A6"/>
    <w:multiLevelType w:val="hybridMultilevel"/>
    <w:tmpl w:val="9D5AEE78"/>
    <w:lvl w:ilvl="0" w:tplc="11203CF6">
      <w:start w:val="1"/>
      <w:numFmt w:val="bullet"/>
      <w:lvlText w:val=""/>
      <w:lvlJc w:val="left"/>
      <w:pPr>
        <w:tabs>
          <w:tab w:val="num" w:pos="720"/>
        </w:tabs>
        <w:ind w:left="720" w:hanging="360"/>
      </w:pPr>
      <w:rPr>
        <w:rFonts w:ascii="Wingdings" w:hAnsi="Wingdings" w:hint="default"/>
      </w:rPr>
    </w:lvl>
    <w:lvl w:ilvl="1" w:tplc="FB244EA6" w:tentative="1">
      <w:start w:val="1"/>
      <w:numFmt w:val="bullet"/>
      <w:lvlText w:val=""/>
      <w:lvlJc w:val="left"/>
      <w:pPr>
        <w:tabs>
          <w:tab w:val="num" w:pos="1440"/>
        </w:tabs>
        <w:ind w:left="1440" w:hanging="360"/>
      </w:pPr>
      <w:rPr>
        <w:rFonts w:ascii="Wingdings" w:hAnsi="Wingdings" w:hint="default"/>
      </w:rPr>
    </w:lvl>
    <w:lvl w:ilvl="2" w:tplc="CEC88524" w:tentative="1">
      <w:start w:val="1"/>
      <w:numFmt w:val="bullet"/>
      <w:lvlText w:val=""/>
      <w:lvlJc w:val="left"/>
      <w:pPr>
        <w:tabs>
          <w:tab w:val="num" w:pos="2160"/>
        </w:tabs>
        <w:ind w:left="2160" w:hanging="360"/>
      </w:pPr>
      <w:rPr>
        <w:rFonts w:ascii="Wingdings" w:hAnsi="Wingdings" w:hint="default"/>
      </w:rPr>
    </w:lvl>
    <w:lvl w:ilvl="3" w:tplc="251613D4" w:tentative="1">
      <w:start w:val="1"/>
      <w:numFmt w:val="bullet"/>
      <w:lvlText w:val=""/>
      <w:lvlJc w:val="left"/>
      <w:pPr>
        <w:tabs>
          <w:tab w:val="num" w:pos="2880"/>
        </w:tabs>
        <w:ind w:left="2880" w:hanging="360"/>
      </w:pPr>
      <w:rPr>
        <w:rFonts w:ascii="Wingdings" w:hAnsi="Wingdings" w:hint="default"/>
      </w:rPr>
    </w:lvl>
    <w:lvl w:ilvl="4" w:tplc="F37ECC4E" w:tentative="1">
      <w:start w:val="1"/>
      <w:numFmt w:val="bullet"/>
      <w:lvlText w:val=""/>
      <w:lvlJc w:val="left"/>
      <w:pPr>
        <w:tabs>
          <w:tab w:val="num" w:pos="3600"/>
        </w:tabs>
        <w:ind w:left="3600" w:hanging="360"/>
      </w:pPr>
      <w:rPr>
        <w:rFonts w:ascii="Wingdings" w:hAnsi="Wingdings" w:hint="default"/>
      </w:rPr>
    </w:lvl>
    <w:lvl w:ilvl="5" w:tplc="8B90B3CA" w:tentative="1">
      <w:start w:val="1"/>
      <w:numFmt w:val="bullet"/>
      <w:lvlText w:val=""/>
      <w:lvlJc w:val="left"/>
      <w:pPr>
        <w:tabs>
          <w:tab w:val="num" w:pos="4320"/>
        </w:tabs>
        <w:ind w:left="4320" w:hanging="360"/>
      </w:pPr>
      <w:rPr>
        <w:rFonts w:ascii="Wingdings" w:hAnsi="Wingdings" w:hint="default"/>
      </w:rPr>
    </w:lvl>
    <w:lvl w:ilvl="6" w:tplc="F96413A8" w:tentative="1">
      <w:start w:val="1"/>
      <w:numFmt w:val="bullet"/>
      <w:lvlText w:val=""/>
      <w:lvlJc w:val="left"/>
      <w:pPr>
        <w:tabs>
          <w:tab w:val="num" w:pos="5040"/>
        </w:tabs>
        <w:ind w:left="5040" w:hanging="360"/>
      </w:pPr>
      <w:rPr>
        <w:rFonts w:ascii="Wingdings" w:hAnsi="Wingdings" w:hint="default"/>
      </w:rPr>
    </w:lvl>
    <w:lvl w:ilvl="7" w:tplc="5F92FD48" w:tentative="1">
      <w:start w:val="1"/>
      <w:numFmt w:val="bullet"/>
      <w:lvlText w:val=""/>
      <w:lvlJc w:val="left"/>
      <w:pPr>
        <w:tabs>
          <w:tab w:val="num" w:pos="5760"/>
        </w:tabs>
        <w:ind w:left="5760" w:hanging="360"/>
      </w:pPr>
      <w:rPr>
        <w:rFonts w:ascii="Wingdings" w:hAnsi="Wingdings" w:hint="default"/>
      </w:rPr>
    </w:lvl>
    <w:lvl w:ilvl="8" w:tplc="6F9E76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B6601"/>
    <w:multiLevelType w:val="hybridMultilevel"/>
    <w:tmpl w:val="FD3C9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76CBA"/>
    <w:multiLevelType w:val="hybridMultilevel"/>
    <w:tmpl w:val="CD8AD810"/>
    <w:lvl w:ilvl="0" w:tplc="55AAB9EE">
      <w:start w:val="1"/>
      <w:numFmt w:val="bullet"/>
      <w:lvlText w:val=""/>
      <w:lvlJc w:val="left"/>
      <w:pPr>
        <w:tabs>
          <w:tab w:val="num" w:pos="720"/>
        </w:tabs>
        <w:ind w:left="720" w:hanging="360"/>
      </w:pPr>
      <w:rPr>
        <w:rFonts w:ascii="Wingdings" w:hAnsi="Wingdings" w:hint="default"/>
      </w:rPr>
    </w:lvl>
    <w:lvl w:ilvl="1" w:tplc="55D8A452" w:tentative="1">
      <w:start w:val="1"/>
      <w:numFmt w:val="bullet"/>
      <w:lvlText w:val=""/>
      <w:lvlJc w:val="left"/>
      <w:pPr>
        <w:tabs>
          <w:tab w:val="num" w:pos="1440"/>
        </w:tabs>
        <w:ind w:left="1440" w:hanging="360"/>
      </w:pPr>
      <w:rPr>
        <w:rFonts w:ascii="Wingdings" w:hAnsi="Wingdings" w:hint="default"/>
      </w:rPr>
    </w:lvl>
    <w:lvl w:ilvl="2" w:tplc="4956DC10" w:tentative="1">
      <w:start w:val="1"/>
      <w:numFmt w:val="bullet"/>
      <w:lvlText w:val=""/>
      <w:lvlJc w:val="left"/>
      <w:pPr>
        <w:tabs>
          <w:tab w:val="num" w:pos="2160"/>
        </w:tabs>
        <w:ind w:left="2160" w:hanging="360"/>
      </w:pPr>
      <w:rPr>
        <w:rFonts w:ascii="Wingdings" w:hAnsi="Wingdings" w:hint="default"/>
      </w:rPr>
    </w:lvl>
    <w:lvl w:ilvl="3" w:tplc="D9A6314E" w:tentative="1">
      <w:start w:val="1"/>
      <w:numFmt w:val="bullet"/>
      <w:lvlText w:val=""/>
      <w:lvlJc w:val="left"/>
      <w:pPr>
        <w:tabs>
          <w:tab w:val="num" w:pos="2880"/>
        </w:tabs>
        <w:ind w:left="2880" w:hanging="360"/>
      </w:pPr>
      <w:rPr>
        <w:rFonts w:ascii="Wingdings" w:hAnsi="Wingdings" w:hint="default"/>
      </w:rPr>
    </w:lvl>
    <w:lvl w:ilvl="4" w:tplc="F1087C0E" w:tentative="1">
      <w:start w:val="1"/>
      <w:numFmt w:val="bullet"/>
      <w:lvlText w:val=""/>
      <w:lvlJc w:val="left"/>
      <w:pPr>
        <w:tabs>
          <w:tab w:val="num" w:pos="3600"/>
        </w:tabs>
        <w:ind w:left="3600" w:hanging="360"/>
      </w:pPr>
      <w:rPr>
        <w:rFonts w:ascii="Wingdings" w:hAnsi="Wingdings" w:hint="default"/>
      </w:rPr>
    </w:lvl>
    <w:lvl w:ilvl="5" w:tplc="C2C697E8" w:tentative="1">
      <w:start w:val="1"/>
      <w:numFmt w:val="bullet"/>
      <w:lvlText w:val=""/>
      <w:lvlJc w:val="left"/>
      <w:pPr>
        <w:tabs>
          <w:tab w:val="num" w:pos="4320"/>
        </w:tabs>
        <w:ind w:left="4320" w:hanging="360"/>
      </w:pPr>
      <w:rPr>
        <w:rFonts w:ascii="Wingdings" w:hAnsi="Wingdings" w:hint="default"/>
      </w:rPr>
    </w:lvl>
    <w:lvl w:ilvl="6" w:tplc="38A6B954" w:tentative="1">
      <w:start w:val="1"/>
      <w:numFmt w:val="bullet"/>
      <w:lvlText w:val=""/>
      <w:lvlJc w:val="left"/>
      <w:pPr>
        <w:tabs>
          <w:tab w:val="num" w:pos="5040"/>
        </w:tabs>
        <w:ind w:left="5040" w:hanging="360"/>
      </w:pPr>
      <w:rPr>
        <w:rFonts w:ascii="Wingdings" w:hAnsi="Wingdings" w:hint="default"/>
      </w:rPr>
    </w:lvl>
    <w:lvl w:ilvl="7" w:tplc="5C36EBF2" w:tentative="1">
      <w:start w:val="1"/>
      <w:numFmt w:val="bullet"/>
      <w:lvlText w:val=""/>
      <w:lvlJc w:val="left"/>
      <w:pPr>
        <w:tabs>
          <w:tab w:val="num" w:pos="5760"/>
        </w:tabs>
        <w:ind w:left="5760" w:hanging="360"/>
      </w:pPr>
      <w:rPr>
        <w:rFonts w:ascii="Wingdings" w:hAnsi="Wingdings" w:hint="default"/>
      </w:rPr>
    </w:lvl>
    <w:lvl w:ilvl="8" w:tplc="3FE82A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1922"/>
    <w:multiLevelType w:val="hybridMultilevel"/>
    <w:tmpl w:val="DA184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43765D"/>
    <w:multiLevelType w:val="hybridMultilevel"/>
    <w:tmpl w:val="24F4E984"/>
    <w:lvl w:ilvl="0" w:tplc="2982CE68">
      <w:start w:val="1"/>
      <w:numFmt w:val="decimal"/>
      <w:lvlText w:val="%1."/>
      <w:lvlJc w:val="left"/>
      <w:pPr>
        <w:ind w:left="3240" w:hanging="360"/>
      </w:pPr>
      <w:rPr>
        <w:rFonts w:ascii="Calibri" w:eastAsia="Calibri" w:hAnsi="Calibri" w:cs="Calibri"/>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9" w15:restartNumberingAfterBreak="0">
    <w:nsid w:val="56FE1AD0"/>
    <w:multiLevelType w:val="hybridMultilevel"/>
    <w:tmpl w:val="CCFEE202"/>
    <w:lvl w:ilvl="0" w:tplc="15B40E7E">
      <w:start w:val="1"/>
      <w:numFmt w:val="bullet"/>
      <w:lvlText w:val=""/>
      <w:lvlJc w:val="left"/>
      <w:pPr>
        <w:tabs>
          <w:tab w:val="num" w:pos="720"/>
        </w:tabs>
        <w:ind w:left="720" w:hanging="360"/>
      </w:pPr>
      <w:rPr>
        <w:rFonts w:ascii="Wingdings" w:hAnsi="Wingdings" w:hint="default"/>
      </w:rPr>
    </w:lvl>
    <w:lvl w:ilvl="1" w:tplc="66F66120" w:tentative="1">
      <w:start w:val="1"/>
      <w:numFmt w:val="bullet"/>
      <w:lvlText w:val=""/>
      <w:lvlJc w:val="left"/>
      <w:pPr>
        <w:tabs>
          <w:tab w:val="num" w:pos="1440"/>
        </w:tabs>
        <w:ind w:left="1440" w:hanging="360"/>
      </w:pPr>
      <w:rPr>
        <w:rFonts w:ascii="Wingdings" w:hAnsi="Wingdings" w:hint="default"/>
      </w:rPr>
    </w:lvl>
    <w:lvl w:ilvl="2" w:tplc="88386626" w:tentative="1">
      <w:start w:val="1"/>
      <w:numFmt w:val="bullet"/>
      <w:lvlText w:val=""/>
      <w:lvlJc w:val="left"/>
      <w:pPr>
        <w:tabs>
          <w:tab w:val="num" w:pos="2160"/>
        </w:tabs>
        <w:ind w:left="2160" w:hanging="360"/>
      </w:pPr>
      <w:rPr>
        <w:rFonts w:ascii="Wingdings" w:hAnsi="Wingdings" w:hint="default"/>
      </w:rPr>
    </w:lvl>
    <w:lvl w:ilvl="3" w:tplc="5A2CB62C" w:tentative="1">
      <w:start w:val="1"/>
      <w:numFmt w:val="bullet"/>
      <w:lvlText w:val=""/>
      <w:lvlJc w:val="left"/>
      <w:pPr>
        <w:tabs>
          <w:tab w:val="num" w:pos="2880"/>
        </w:tabs>
        <w:ind w:left="2880" w:hanging="360"/>
      </w:pPr>
      <w:rPr>
        <w:rFonts w:ascii="Wingdings" w:hAnsi="Wingdings" w:hint="default"/>
      </w:rPr>
    </w:lvl>
    <w:lvl w:ilvl="4" w:tplc="40429F68" w:tentative="1">
      <w:start w:val="1"/>
      <w:numFmt w:val="bullet"/>
      <w:lvlText w:val=""/>
      <w:lvlJc w:val="left"/>
      <w:pPr>
        <w:tabs>
          <w:tab w:val="num" w:pos="3600"/>
        </w:tabs>
        <w:ind w:left="3600" w:hanging="360"/>
      </w:pPr>
      <w:rPr>
        <w:rFonts w:ascii="Wingdings" w:hAnsi="Wingdings" w:hint="default"/>
      </w:rPr>
    </w:lvl>
    <w:lvl w:ilvl="5" w:tplc="DFCAE300" w:tentative="1">
      <w:start w:val="1"/>
      <w:numFmt w:val="bullet"/>
      <w:lvlText w:val=""/>
      <w:lvlJc w:val="left"/>
      <w:pPr>
        <w:tabs>
          <w:tab w:val="num" w:pos="4320"/>
        </w:tabs>
        <w:ind w:left="4320" w:hanging="360"/>
      </w:pPr>
      <w:rPr>
        <w:rFonts w:ascii="Wingdings" w:hAnsi="Wingdings" w:hint="default"/>
      </w:rPr>
    </w:lvl>
    <w:lvl w:ilvl="6" w:tplc="257A3C18" w:tentative="1">
      <w:start w:val="1"/>
      <w:numFmt w:val="bullet"/>
      <w:lvlText w:val=""/>
      <w:lvlJc w:val="left"/>
      <w:pPr>
        <w:tabs>
          <w:tab w:val="num" w:pos="5040"/>
        </w:tabs>
        <w:ind w:left="5040" w:hanging="360"/>
      </w:pPr>
      <w:rPr>
        <w:rFonts w:ascii="Wingdings" w:hAnsi="Wingdings" w:hint="default"/>
      </w:rPr>
    </w:lvl>
    <w:lvl w:ilvl="7" w:tplc="E7B83780" w:tentative="1">
      <w:start w:val="1"/>
      <w:numFmt w:val="bullet"/>
      <w:lvlText w:val=""/>
      <w:lvlJc w:val="left"/>
      <w:pPr>
        <w:tabs>
          <w:tab w:val="num" w:pos="5760"/>
        </w:tabs>
        <w:ind w:left="5760" w:hanging="360"/>
      </w:pPr>
      <w:rPr>
        <w:rFonts w:ascii="Wingdings" w:hAnsi="Wingdings" w:hint="default"/>
      </w:rPr>
    </w:lvl>
    <w:lvl w:ilvl="8" w:tplc="B0A666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F31DE"/>
    <w:multiLevelType w:val="hybridMultilevel"/>
    <w:tmpl w:val="A398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A548A"/>
    <w:multiLevelType w:val="multilevel"/>
    <w:tmpl w:val="16B6A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6A27EB"/>
    <w:multiLevelType w:val="hybridMultilevel"/>
    <w:tmpl w:val="428E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A106F"/>
    <w:multiLevelType w:val="hybridMultilevel"/>
    <w:tmpl w:val="5B70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06227"/>
    <w:multiLevelType w:val="hybridMultilevel"/>
    <w:tmpl w:val="6874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75919"/>
    <w:multiLevelType w:val="hybridMultilevel"/>
    <w:tmpl w:val="CDA6DD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D1926"/>
    <w:multiLevelType w:val="hybridMultilevel"/>
    <w:tmpl w:val="A80EBFB4"/>
    <w:lvl w:ilvl="0" w:tplc="0409000F">
      <w:start w:val="1"/>
      <w:numFmt w:val="decimal"/>
      <w:lvlText w:val="%1."/>
      <w:lvlJc w:val="left"/>
      <w:pPr>
        <w:tabs>
          <w:tab w:val="num" w:pos="720"/>
        </w:tabs>
        <w:ind w:left="720" w:hanging="360"/>
      </w:pPr>
      <w:rPr>
        <w:rFonts w:hint="default"/>
      </w:rPr>
    </w:lvl>
    <w:lvl w:ilvl="1" w:tplc="857EB4E2" w:tentative="1">
      <w:start w:val="1"/>
      <w:numFmt w:val="bullet"/>
      <w:lvlText w:val="•"/>
      <w:lvlJc w:val="left"/>
      <w:pPr>
        <w:tabs>
          <w:tab w:val="num" w:pos="1440"/>
        </w:tabs>
        <w:ind w:left="1440" w:hanging="360"/>
      </w:pPr>
      <w:rPr>
        <w:rFonts w:ascii="Arial" w:hAnsi="Arial" w:hint="default"/>
      </w:rPr>
    </w:lvl>
    <w:lvl w:ilvl="2" w:tplc="F9524198" w:tentative="1">
      <w:start w:val="1"/>
      <w:numFmt w:val="bullet"/>
      <w:lvlText w:val="•"/>
      <w:lvlJc w:val="left"/>
      <w:pPr>
        <w:tabs>
          <w:tab w:val="num" w:pos="2160"/>
        </w:tabs>
        <w:ind w:left="2160" w:hanging="360"/>
      </w:pPr>
      <w:rPr>
        <w:rFonts w:ascii="Arial" w:hAnsi="Arial" w:hint="default"/>
      </w:rPr>
    </w:lvl>
    <w:lvl w:ilvl="3" w:tplc="BFBC216A" w:tentative="1">
      <w:start w:val="1"/>
      <w:numFmt w:val="bullet"/>
      <w:lvlText w:val="•"/>
      <w:lvlJc w:val="left"/>
      <w:pPr>
        <w:tabs>
          <w:tab w:val="num" w:pos="2880"/>
        </w:tabs>
        <w:ind w:left="2880" w:hanging="360"/>
      </w:pPr>
      <w:rPr>
        <w:rFonts w:ascii="Arial" w:hAnsi="Arial" w:hint="default"/>
      </w:rPr>
    </w:lvl>
    <w:lvl w:ilvl="4" w:tplc="3C12CF78" w:tentative="1">
      <w:start w:val="1"/>
      <w:numFmt w:val="bullet"/>
      <w:lvlText w:val="•"/>
      <w:lvlJc w:val="left"/>
      <w:pPr>
        <w:tabs>
          <w:tab w:val="num" w:pos="3600"/>
        </w:tabs>
        <w:ind w:left="3600" w:hanging="360"/>
      </w:pPr>
      <w:rPr>
        <w:rFonts w:ascii="Arial" w:hAnsi="Arial" w:hint="default"/>
      </w:rPr>
    </w:lvl>
    <w:lvl w:ilvl="5" w:tplc="D2BABB52" w:tentative="1">
      <w:start w:val="1"/>
      <w:numFmt w:val="bullet"/>
      <w:lvlText w:val="•"/>
      <w:lvlJc w:val="left"/>
      <w:pPr>
        <w:tabs>
          <w:tab w:val="num" w:pos="4320"/>
        </w:tabs>
        <w:ind w:left="4320" w:hanging="360"/>
      </w:pPr>
      <w:rPr>
        <w:rFonts w:ascii="Arial" w:hAnsi="Arial" w:hint="default"/>
      </w:rPr>
    </w:lvl>
    <w:lvl w:ilvl="6" w:tplc="B2A28BAA" w:tentative="1">
      <w:start w:val="1"/>
      <w:numFmt w:val="bullet"/>
      <w:lvlText w:val="•"/>
      <w:lvlJc w:val="left"/>
      <w:pPr>
        <w:tabs>
          <w:tab w:val="num" w:pos="5040"/>
        </w:tabs>
        <w:ind w:left="5040" w:hanging="360"/>
      </w:pPr>
      <w:rPr>
        <w:rFonts w:ascii="Arial" w:hAnsi="Arial" w:hint="default"/>
      </w:rPr>
    </w:lvl>
    <w:lvl w:ilvl="7" w:tplc="8E20FA9E" w:tentative="1">
      <w:start w:val="1"/>
      <w:numFmt w:val="bullet"/>
      <w:lvlText w:val="•"/>
      <w:lvlJc w:val="left"/>
      <w:pPr>
        <w:tabs>
          <w:tab w:val="num" w:pos="5760"/>
        </w:tabs>
        <w:ind w:left="5760" w:hanging="360"/>
      </w:pPr>
      <w:rPr>
        <w:rFonts w:ascii="Arial" w:hAnsi="Arial" w:hint="default"/>
      </w:rPr>
    </w:lvl>
    <w:lvl w:ilvl="8" w:tplc="1D2A57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7467DA"/>
    <w:multiLevelType w:val="hybridMultilevel"/>
    <w:tmpl w:val="CE3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33467"/>
    <w:multiLevelType w:val="hybridMultilevel"/>
    <w:tmpl w:val="1D76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767B4"/>
    <w:multiLevelType w:val="multilevel"/>
    <w:tmpl w:val="46629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104440"/>
    <w:multiLevelType w:val="hybridMultilevel"/>
    <w:tmpl w:val="C7A6A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0E08C5"/>
    <w:multiLevelType w:val="hybridMultilevel"/>
    <w:tmpl w:val="396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F28BF"/>
    <w:multiLevelType w:val="hybridMultilevel"/>
    <w:tmpl w:val="AD00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9070D"/>
    <w:multiLevelType w:val="hybridMultilevel"/>
    <w:tmpl w:val="6D4C60E8"/>
    <w:lvl w:ilvl="0" w:tplc="F9F0393C">
      <w:start w:val="1"/>
      <w:numFmt w:val="bullet"/>
      <w:lvlText w:val=""/>
      <w:lvlJc w:val="left"/>
      <w:pPr>
        <w:tabs>
          <w:tab w:val="num" w:pos="720"/>
        </w:tabs>
        <w:ind w:left="720" w:hanging="360"/>
      </w:pPr>
      <w:rPr>
        <w:rFonts w:ascii="Wingdings" w:hAnsi="Wingdings" w:hint="default"/>
      </w:rPr>
    </w:lvl>
    <w:lvl w:ilvl="1" w:tplc="2FA411BA" w:tentative="1">
      <w:start w:val="1"/>
      <w:numFmt w:val="bullet"/>
      <w:lvlText w:val=""/>
      <w:lvlJc w:val="left"/>
      <w:pPr>
        <w:tabs>
          <w:tab w:val="num" w:pos="1440"/>
        </w:tabs>
        <w:ind w:left="1440" w:hanging="360"/>
      </w:pPr>
      <w:rPr>
        <w:rFonts w:ascii="Wingdings" w:hAnsi="Wingdings" w:hint="default"/>
      </w:rPr>
    </w:lvl>
    <w:lvl w:ilvl="2" w:tplc="91D41746" w:tentative="1">
      <w:start w:val="1"/>
      <w:numFmt w:val="bullet"/>
      <w:lvlText w:val=""/>
      <w:lvlJc w:val="left"/>
      <w:pPr>
        <w:tabs>
          <w:tab w:val="num" w:pos="2160"/>
        </w:tabs>
        <w:ind w:left="2160" w:hanging="360"/>
      </w:pPr>
      <w:rPr>
        <w:rFonts w:ascii="Wingdings" w:hAnsi="Wingdings" w:hint="default"/>
      </w:rPr>
    </w:lvl>
    <w:lvl w:ilvl="3" w:tplc="3ADA4246" w:tentative="1">
      <w:start w:val="1"/>
      <w:numFmt w:val="bullet"/>
      <w:lvlText w:val=""/>
      <w:lvlJc w:val="left"/>
      <w:pPr>
        <w:tabs>
          <w:tab w:val="num" w:pos="2880"/>
        </w:tabs>
        <w:ind w:left="2880" w:hanging="360"/>
      </w:pPr>
      <w:rPr>
        <w:rFonts w:ascii="Wingdings" w:hAnsi="Wingdings" w:hint="default"/>
      </w:rPr>
    </w:lvl>
    <w:lvl w:ilvl="4" w:tplc="C1D6E6D2" w:tentative="1">
      <w:start w:val="1"/>
      <w:numFmt w:val="bullet"/>
      <w:lvlText w:val=""/>
      <w:lvlJc w:val="left"/>
      <w:pPr>
        <w:tabs>
          <w:tab w:val="num" w:pos="3600"/>
        </w:tabs>
        <w:ind w:left="3600" w:hanging="360"/>
      </w:pPr>
      <w:rPr>
        <w:rFonts w:ascii="Wingdings" w:hAnsi="Wingdings" w:hint="default"/>
      </w:rPr>
    </w:lvl>
    <w:lvl w:ilvl="5" w:tplc="B5609DA6" w:tentative="1">
      <w:start w:val="1"/>
      <w:numFmt w:val="bullet"/>
      <w:lvlText w:val=""/>
      <w:lvlJc w:val="left"/>
      <w:pPr>
        <w:tabs>
          <w:tab w:val="num" w:pos="4320"/>
        </w:tabs>
        <w:ind w:left="4320" w:hanging="360"/>
      </w:pPr>
      <w:rPr>
        <w:rFonts w:ascii="Wingdings" w:hAnsi="Wingdings" w:hint="default"/>
      </w:rPr>
    </w:lvl>
    <w:lvl w:ilvl="6" w:tplc="5EE01C8E" w:tentative="1">
      <w:start w:val="1"/>
      <w:numFmt w:val="bullet"/>
      <w:lvlText w:val=""/>
      <w:lvlJc w:val="left"/>
      <w:pPr>
        <w:tabs>
          <w:tab w:val="num" w:pos="5040"/>
        </w:tabs>
        <w:ind w:left="5040" w:hanging="360"/>
      </w:pPr>
      <w:rPr>
        <w:rFonts w:ascii="Wingdings" w:hAnsi="Wingdings" w:hint="default"/>
      </w:rPr>
    </w:lvl>
    <w:lvl w:ilvl="7" w:tplc="B87AB11E" w:tentative="1">
      <w:start w:val="1"/>
      <w:numFmt w:val="bullet"/>
      <w:lvlText w:val=""/>
      <w:lvlJc w:val="left"/>
      <w:pPr>
        <w:tabs>
          <w:tab w:val="num" w:pos="5760"/>
        </w:tabs>
        <w:ind w:left="5760" w:hanging="360"/>
      </w:pPr>
      <w:rPr>
        <w:rFonts w:ascii="Wingdings" w:hAnsi="Wingdings" w:hint="default"/>
      </w:rPr>
    </w:lvl>
    <w:lvl w:ilvl="8" w:tplc="7FB0158A"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num>
  <w:num w:numId="3">
    <w:abstractNumId w:val="12"/>
  </w:num>
  <w:num w:numId="4">
    <w:abstractNumId w:val="1"/>
  </w:num>
  <w:num w:numId="5">
    <w:abstractNumId w:val="18"/>
  </w:num>
  <w:num w:numId="6">
    <w:abstractNumId w:val="2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15"/>
  </w:num>
  <w:num w:numId="16">
    <w:abstractNumId w:val="23"/>
  </w:num>
  <w:num w:numId="17">
    <w:abstractNumId w:val="6"/>
  </w:num>
  <w:num w:numId="18">
    <w:abstractNumId w:val="4"/>
  </w:num>
  <w:num w:numId="19">
    <w:abstractNumId w:val="9"/>
  </w:num>
  <w:num w:numId="20">
    <w:abstractNumId w:val="2"/>
  </w:num>
  <w:num w:numId="21">
    <w:abstractNumId w:val="0"/>
  </w:num>
  <w:num w:numId="22">
    <w:abstractNumId w:val="13"/>
  </w:num>
  <w:num w:numId="23">
    <w:abstractNumId w:val="3"/>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FF"/>
    <w:rsid w:val="00005965"/>
    <w:rsid w:val="000220C7"/>
    <w:rsid w:val="00047D28"/>
    <w:rsid w:val="00055BD0"/>
    <w:rsid w:val="000A5E5A"/>
    <w:rsid w:val="000C69FF"/>
    <w:rsid w:val="000E1480"/>
    <w:rsid w:val="00100B2E"/>
    <w:rsid w:val="001019F4"/>
    <w:rsid w:val="00103FF2"/>
    <w:rsid w:val="00125405"/>
    <w:rsid w:val="00147592"/>
    <w:rsid w:val="00197BFF"/>
    <w:rsid w:val="001B1A2D"/>
    <w:rsid w:val="001B7DCE"/>
    <w:rsid w:val="00220680"/>
    <w:rsid w:val="002517B6"/>
    <w:rsid w:val="002575B0"/>
    <w:rsid w:val="00264D65"/>
    <w:rsid w:val="00267FB5"/>
    <w:rsid w:val="002764BE"/>
    <w:rsid w:val="002829DE"/>
    <w:rsid w:val="00290DD9"/>
    <w:rsid w:val="002B3D0D"/>
    <w:rsid w:val="002D1CE1"/>
    <w:rsid w:val="002D38BC"/>
    <w:rsid w:val="002E6194"/>
    <w:rsid w:val="002F727B"/>
    <w:rsid w:val="00301338"/>
    <w:rsid w:val="00353C0F"/>
    <w:rsid w:val="003C2953"/>
    <w:rsid w:val="003D064F"/>
    <w:rsid w:val="0041420A"/>
    <w:rsid w:val="00415406"/>
    <w:rsid w:val="004156C2"/>
    <w:rsid w:val="00451B13"/>
    <w:rsid w:val="00451EAE"/>
    <w:rsid w:val="004B3E5A"/>
    <w:rsid w:val="004C1924"/>
    <w:rsid w:val="004E577E"/>
    <w:rsid w:val="004E7A84"/>
    <w:rsid w:val="00526504"/>
    <w:rsid w:val="005D3E5F"/>
    <w:rsid w:val="00610CE7"/>
    <w:rsid w:val="006237F8"/>
    <w:rsid w:val="00626E40"/>
    <w:rsid w:val="00636C0B"/>
    <w:rsid w:val="006A75FA"/>
    <w:rsid w:val="00731C67"/>
    <w:rsid w:val="0075644A"/>
    <w:rsid w:val="007B624E"/>
    <w:rsid w:val="007D1A40"/>
    <w:rsid w:val="007D6E41"/>
    <w:rsid w:val="007F3BC7"/>
    <w:rsid w:val="00857198"/>
    <w:rsid w:val="008645C8"/>
    <w:rsid w:val="00881484"/>
    <w:rsid w:val="008C0BC3"/>
    <w:rsid w:val="008C5EAA"/>
    <w:rsid w:val="008C6A00"/>
    <w:rsid w:val="008F3A57"/>
    <w:rsid w:val="008F72D9"/>
    <w:rsid w:val="00907E18"/>
    <w:rsid w:val="00925635"/>
    <w:rsid w:val="00936600"/>
    <w:rsid w:val="009B57CD"/>
    <w:rsid w:val="009F67B1"/>
    <w:rsid w:val="00A11C0A"/>
    <w:rsid w:val="00A158EC"/>
    <w:rsid w:val="00A34E2C"/>
    <w:rsid w:val="00A80ACF"/>
    <w:rsid w:val="00AA2B5C"/>
    <w:rsid w:val="00AC416A"/>
    <w:rsid w:val="00B0031C"/>
    <w:rsid w:val="00B06FB7"/>
    <w:rsid w:val="00B83EDE"/>
    <w:rsid w:val="00B91EE8"/>
    <w:rsid w:val="00B97D00"/>
    <w:rsid w:val="00BA3623"/>
    <w:rsid w:val="00BA6BB6"/>
    <w:rsid w:val="00BA6F0A"/>
    <w:rsid w:val="00BA7D5E"/>
    <w:rsid w:val="00BC4BD7"/>
    <w:rsid w:val="00BC4FF0"/>
    <w:rsid w:val="00BD38D1"/>
    <w:rsid w:val="00BF642F"/>
    <w:rsid w:val="00C00417"/>
    <w:rsid w:val="00C0200C"/>
    <w:rsid w:val="00C9176C"/>
    <w:rsid w:val="00CB0F81"/>
    <w:rsid w:val="00CB303B"/>
    <w:rsid w:val="00CF3F61"/>
    <w:rsid w:val="00D053A8"/>
    <w:rsid w:val="00D56478"/>
    <w:rsid w:val="00D8384F"/>
    <w:rsid w:val="00DA5BDF"/>
    <w:rsid w:val="00DA7C70"/>
    <w:rsid w:val="00DE54F1"/>
    <w:rsid w:val="00E12858"/>
    <w:rsid w:val="00E14800"/>
    <w:rsid w:val="00E2347D"/>
    <w:rsid w:val="00E91B05"/>
    <w:rsid w:val="00EA2D9F"/>
    <w:rsid w:val="00EA711D"/>
    <w:rsid w:val="00EB583B"/>
    <w:rsid w:val="00EC5C70"/>
    <w:rsid w:val="00EC7404"/>
    <w:rsid w:val="00F02426"/>
    <w:rsid w:val="00F85BD4"/>
    <w:rsid w:val="00FC6E32"/>
    <w:rsid w:val="00FF36E4"/>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C7324"/>
  <w14:defaultImageDpi w14:val="300"/>
  <w15:docId w15:val="{568D6458-DA96-45D3-8423-7FBE6EF7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9FF"/>
    <w:pPr>
      <w:ind w:left="720"/>
      <w:contextualSpacing/>
    </w:pPr>
  </w:style>
  <w:style w:type="table" w:styleId="TableGrid">
    <w:name w:val="Table Grid"/>
    <w:basedOn w:val="TableNormal"/>
    <w:uiPriority w:val="59"/>
    <w:rsid w:val="000C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E"/>
    <w:pPr>
      <w:tabs>
        <w:tab w:val="center" w:pos="4320"/>
        <w:tab w:val="right" w:pos="8640"/>
      </w:tabs>
    </w:pPr>
  </w:style>
  <w:style w:type="character" w:customStyle="1" w:styleId="HeaderChar">
    <w:name w:val="Header Char"/>
    <w:basedOn w:val="DefaultParagraphFont"/>
    <w:link w:val="Header"/>
    <w:uiPriority w:val="99"/>
    <w:rsid w:val="002829DE"/>
  </w:style>
  <w:style w:type="paragraph" w:styleId="Footer">
    <w:name w:val="footer"/>
    <w:basedOn w:val="Normal"/>
    <w:link w:val="FooterChar"/>
    <w:uiPriority w:val="99"/>
    <w:unhideWhenUsed/>
    <w:rsid w:val="002829DE"/>
    <w:pPr>
      <w:tabs>
        <w:tab w:val="center" w:pos="4320"/>
        <w:tab w:val="right" w:pos="8640"/>
      </w:tabs>
    </w:pPr>
  </w:style>
  <w:style w:type="character" w:customStyle="1" w:styleId="FooterChar">
    <w:name w:val="Footer Char"/>
    <w:basedOn w:val="DefaultParagraphFont"/>
    <w:link w:val="Footer"/>
    <w:uiPriority w:val="99"/>
    <w:rsid w:val="002829DE"/>
  </w:style>
  <w:style w:type="paragraph" w:styleId="BalloonText">
    <w:name w:val="Balloon Text"/>
    <w:basedOn w:val="Normal"/>
    <w:link w:val="BalloonTextChar"/>
    <w:uiPriority w:val="99"/>
    <w:semiHidden/>
    <w:unhideWhenUsed/>
    <w:rsid w:val="002829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9DE"/>
    <w:rPr>
      <w:rFonts w:ascii="Lucida Grande" w:hAnsi="Lucida Grande" w:cs="Lucida Grande"/>
      <w:sz w:val="18"/>
      <w:szCs w:val="18"/>
    </w:rPr>
  </w:style>
  <w:style w:type="character" w:styleId="Hyperlink">
    <w:name w:val="Hyperlink"/>
    <w:basedOn w:val="DefaultParagraphFont"/>
    <w:uiPriority w:val="99"/>
    <w:unhideWhenUsed/>
    <w:rsid w:val="002517B6"/>
    <w:rPr>
      <w:color w:val="0000FF"/>
      <w:u w:val="single"/>
    </w:rPr>
  </w:style>
  <w:style w:type="paragraph" w:styleId="NormalWeb">
    <w:name w:val="Normal (Web)"/>
    <w:basedOn w:val="Normal"/>
    <w:uiPriority w:val="99"/>
    <w:unhideWhenUsed/>
    <w:rsid w:val="00264D65"/>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264D65"/>
    <w:rPr>
      <w:i/>
      <w:iCs/>
    </w:rPr>
  </w:style>
  <w:style w:type="character" w:styleId="FollowedHyperlink">
    <w:name w:val="FollowedHyperlink"/>
    <w:basedOn w:val="DefaultParagraphFont"/>
    <w:uiPriority w:val="99"/>
    <w:semiHidden/>
    <w:unhideWhenUsed/>
    <w:rsid w:val="00BC4BD7"/>
    <w:rPr>
      <w:color w:val="800080" w:themeColor="followedHyperlink"/>
      <w:u w:val="single"/>
    </w:rPr>
  </w:style>
  <w:style w:type="character" w:styleId="UnresolvedMention">
    <w:name w:val="Unresolved Mention"/>
    <w:basedOn w:val="DefaultParagraphFont"/>
    <w:uiPriority w:val="99"/>
    <w:semiHidden/>
    <w:unhideWhenUsed/>
    <w:rsid w:val="00197BFF"/>
    <w:rPr>
      <w:color w:val="605E5C"/>
      <w:shd w:val="clear" w:color="auto" w:fill="E1DFDD"/>
    </w:rPr>
  </w:style>
  <w:style w:type="paragraph" w:styleId="PlainText">
    <w:name w:val="Plain Text"/>
    <w:basedOn w:val="Normal"/>
    <w:link w:val="PlainTextChar"/>
    <w:uiPriority w:val="99"/>
    <w:semiHidden/>
    <w:unhideWhenUsed/>
    <w:rsid w:val="0092563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925635"/>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046">
      <w:bodyDiv w:val="1"/>
      <w:marLeft w:val="0"/>
      <w:marRight w:val="0"/>
      <w:marTop w:val="0"/>
      <w:marBottom w:val="0"/>
      <w:divBdr>
        <w:top w:val="none" w:sz="0" w:space="0" w:color="auto"/>
        <w:left w:val="none" w:sz="0" w:space="0" w:color="auto"/>
        <w:bottom w:val="none" w:sz="0" w:space="0" w:color="auto"/>
        <w:right w:val="none" w:sz="0" w:space="0" w:color="auto"/>
      </w:divBdr>
    </w:div>
    <w:div w:id="65954370">
      <w:bodyDiv w:val="1"/>
      <w:marLeft w:val="0"/>
      <w:marRight w:val="0"/>
      <w:marTop w:val="0"/>
      <w:marBottom w:val="0"/>
      <w:divBdr>
        <w:top w:val="none" w:sz="0" w:space="0" w:color="auto"/>
        <w:left w:val="none" w:sz="0" w:space="0" w:color="auto"/>
        <w:bottom w:val="none" w:sz="0" w:space="0" w:color="auto"/>
        <w:right w:val="none" w:sz="0" w:space="0" w:color="auto"/>
      </w:divBdr>
    </w:div>
    <w:div w:id="142309255">
      <w:bodyDiv w:val="1"/>
      <w:marLeft w:val="0"/>
      <w:marRight w:val="0"/>
      <w:marTop w:val="0"/>
      <w:marBottom w:val="0"/>
      <w:divBdr>
        <w:top w:val="none" w:sz="0" w:space="0" w:color="auto"/>
        <w:left w:val="none" w:sz="0" w:space="0" w:color="auto"/>
        <w:bottom w:val="none" w:sz="0" w:space="0" w:color="auto"/>
        <w:right w:val="none" w:sz="0" w:space="0" w:color="auto"/>
      </w:divBdr>
      <w:divsChild>
        <w:div w:id="2129932185">
          <w:marLeft w:val="0"/>
          <w:marRight w:val="0"/>
          <w:marTop w:val="0"/>
          <w:marBottom w:val="0"/>
          <w:divBdr>
            <w:top w:val="none" w:sz="0" w:space="0" w:color="auto"/>
            <w:left w:val="none" w:sz="0" w:space="0" w:color="auto"/>
            <w:bottom w:val="none" w:sz="0" w:space="0" w:color="auto"/>
            <w:right w:val="none" w:sz="0" w:space="0" w:color="auto"/>
          </w:divBdr>
        </w:div>
      </w:divsChild>
    </w:div>
    <w:div w:id="222906940">
      <w:bodyDiv w:val="1"/>
      <w:marLeft w:val="0"/>
      <w:marRight w:val="0"/>
      <w:marTop w:val="0"/>
      <w:marBottom w:val="0"/>
      <w:divBdr>
        <w:top w:val="none" w:sz="0" w:space="0" w:color="auto"/>
        <w:left w:val="none" w:sz="0" w:space="0" w:color="auto"/>
        <w:bottom w:val="none" w:sz="0" w:space="0" w:color="auto"/>
        <w:right w:val="none" w:sz="0" w:space="0" w:color="auto"/>
      </w:divBdr>
    </w:div>
    <w:div w:id="495152828">
      <w:bodyDiv w:val="1"/>
      <w:marLeft w:val="0"/>
      <w:marRight w:val="0"/>
      <w:marTop w:val="0"/>
      <w:marBottom w:val="0"/>
      <w:divBdr>
        <w:top w:val="none" w:sz="0" w:space="0" w:color="auto"/>
        <w:left w:val="none" w:sz="0" w:space="0" w:color="auto"/>
        <w:bottom w:val="none" w:sz="0" w:space="0" w:color="auto"/>
        <w:right w:val="none" w:sz="0" w:space="0" w:color="auto"/>
      </w:divBdr>
      <w:divsChild>
        <w:div w:id="864291891">
          <w:marLeft w:val="360"/>
          <w:marRight w:val="0"/>
          <w:marTop w:val="200"/>
          <w:marBottom w:val="0"/>
          <w:divBdr>
            <w:top w:val="none" w:sz="0" w:space="0" w:color="auto"/>
            <w:left w:val="none" w:sz="0" w:space="0" w:color="auto"/>
            <w:bottom w:val="none" w:sz="0" w:space="0" w:color="auto"/>
            <w:right w:val="none" w:sz="0" w:space="0" w:color="auto"/>
          </w:divBdr>
        </w:div>
        <w:div w:id="56175815">
          <w:marLeft w:val="360"/>
          <w:marRight w:val="0"/>
          <w:marTop w:val="200"/>
          <w:marBottom w:val="0"/>
          <w:divBdr>
            <w:top w:val="none" w:sz="0" w:space="0" w:color="auto"/>
            <w:left w:val="none" w:sz="0" w:space="0" w:color="auto"/>
            <w:bottom w:val="none" w:sz="0" w:space="0" w:color="auto"/>
            <w:right w:val="none" w:sz="0" w:space="0" w:color="auto"/>
          </w:divBdr>
        </w:div>
        <w:div w:id="1499880719">
          <w:marLeft w:val="360"/>
          <w:marRight w:val="0"/>
          <w:marTop w:val="200"/>
          <w:marBottom w:val="0"/>
          <w:divBdr>
            <w:top w:val="none" w:sz="0" w:space="0" w:color="auto"/>
            <w:left w:val="none" w:sz="0" w:space="0" w:color="auto"/>
            <w:bottom w:val="none" w:sz="0" w:space="0" w:color="auto"/>
            <w:right w:val="none" w:sz="0" w:space="0" w:color="auto"/>
          </w:divBdr>
        </w:div>
      </w:divsChild>
    </w:div>
    <w:div w:id="500972597">
      <w:bodyDiv w:val="1"/>
      <w:marLeft w:val="0"/>
      <w:marRight w:val="0"/>
      <w:marTop w:val="0"/>
      <w:marBottom w:val="0"/>
      <w:divBdr>
        <w:top w:val="none" w:sz="0" w:space="0" w:color="auto"/>
        <w:left w:val="none" w:sz="0" w:space="0" w:color="auto"/>
        <w:bottom w:val="none" w:sz="0" w:space="0" w:color="auto"/>
        <w:right w:val="none" w:sz="0" w:space="0" w:color="auto"/>
      </w:divBdr>
    </w:div>
    <w:div w:id="558857578">
      <w:bodyDiv w:val="1"/>
      <w:marLeft w:val="0"/>
      <w:marRight w:val="0"/>
      <w:marTop w:val="0"/>
      <w:marBottom w:val="0"/>
      <w:divBdr>
        <w:top w:val="none" w:sz="0" w:space="0" w:color="auto"/>
        <w:left w:val="none" w:sz="0" w:space="0" w:color="auto"/>
        <w:bottom w:val="none" w:sz="0" w:space="0" w:color="auto"/>
        <w:right w:val="none" w:sz="0" w:space="0" w:color="auto"/>
      </w:divBdr>
    </w:div>
    <w:div w:id="587470430">
      <w:bodyDiv w:val="1"/>
      <w:marLeft w:val="0"/>
      <w:marRight w:val="0"/>
      <w:marTop w:val="0"/>
      <w:marBottom w:val="0"/>
      <w:divBdr>
        <w:top w:val="none" w:sz="0" w:space="0" w:color="auto"/>
        <w:left w:val="none" w:sz="0" w:space="0" w:color="auto"/>
        <w:bottom w:val="none" w:sz="0" w:space="0" w:color="auto"/>
        <w:right w:val="none" w:sz="0" w:space="0" w:color="auto"/>
      </w:divBdr>
    </w:div>
    <w:div w:id="658076371">
      <w:bodyDiv w:val="1"/>
      <w:marLeft w:val="0"/>
      <w:marRight w:val="0"/>
      <w:marTop w:val="0"/>
      <w:marBottom w:val="0"/>
      <w:divBdr>
        <w:top w:val="none" w:sz="0" w:space="0" w:color="auto"/>
        <w:left w:val="none" w:sz="0" w:space="0" w:color="auto"/>
        <w:bottom w:val="none" w:sz="0" w:space="0" w:color="auto"/>
        <w:right w:val="none" w:sz="0" w:space="0" w:color="auto"/>
      </w:divBdr>
    </w:div>
    <w:div w:id="829760129">
      <w:bodyDiv w:val="1"/>
      <w:marLeft w:val="0"/>
      <w:marRight w:val="0"/>
      <w:marTop w:val="0"/>
      <w:marBottom w:val="0"/>
      <w:divBdr>
        <w:top w:val="none" w:sz="0" w:space="0" w:color="auto"/>
        <w:left w:val="none" w:sz="0" w:space="0" w:color="auto"/>
        <w:bottom w:val="none" w:sz="0" w:space="0" w:color="auto"/>
        <w:right w:val="none" w:sz="0" w:space="0" w:color="auto"/>
      </w:divBdr>
    </w:div>
    <w:div w:id="844587998">
      <w:bodyDiv w:val="1"/>
      <w:marLeft w:val="0"/>
      <w:marRight w:val="0"/>
      <w:marTop w:val="0"/>
      <w:marBottom w:val="0"/>
      <w:divBdr>
        <w:top w:val="none" w:sz="0" w:space="0" w:color="auto"/>
        <w:left w:val="none" w:sz="0" w:space="0" w:color="auto"/>
        <w:bottom w:val="none" w:sz="0" w:space="0" w:color="auto"/>
        <w:right w:val="none" w:sz="0" w:space="0" w:color="auto"/>
      </w:divBdr>
    </w:div>
    <w:div w:id="1274555952">
      <w:bodyDiv w:val="1"/>
      <w:marLeft w:val="0"/>
      <w:marRight w:val="0"/>
      <w:marTop w:val="0"/>
      <w:marBottom w:val="0"/>
      <w:divBdr>
        <w:top w:val="none" w:sz="0" w:space="0" w:color="auto"/>
        <w:left w:val="none" w:sz="0" w:space="0" w:color="auto"/>
        <w:bottom w:val="none" w:sz="0" w:space="0" w:color="auto"/>
        <w:right w:val="none" w:sz="0" w:space="0" w:color="auto"/>
      </w:divBdr>
    </w:div>
    <w:div w:id="1295134221">
      <w:bodyDiv w:val="1"/>
      <w:marLeft w:val="0"/>
      <w:marRight w:val="0"/>
      <w:marTop w:val="0"/>
      <w:marBottom w:val="0"/>
      <w:divBdr>
        <w:top w:val="none" w:sz="0" w:space="0" w:color="auto"/>
        <w:left w:val="none" w:sz="0" w:space="0" w:color="auto"/>
        <w:bottom w:val="none" w:sz="0" w:space="0" w:color="auto"/>
        <w:right w:val="none" w:sz="0" w:space="0" w:color="auto"/>
      </w:divBdr>
    </w:div>
    <w:div w:id="1376781762">
      <w:bodyDiv w:val="1"/>
      <w:marLeft w:val="0"/>
      <w:marRight w:val="0"/>
      <w:marTop w:val="0"/>
      <w:marBottom w:val="0"/>
      <w:divBdr>
        <w:top w:val="none" w:sz="0" w:space="0" w:color="auto"/>
        <w:left w:val="none" w:sz="0" w:space="0" w:color="auto"/>
        <w:bottom w:val="none" w:sz="0" w:space="0" w:color="auto"/>
        <w:right w:val="none" w:sz="0" w:space="0" w:color="auto"/>
      </w:divBdr>
      <w:divsChild>
        <w:div w:id="700397546">
          <w:marLeft w:val="360"/>
          <w:marRight w:val="0"/>
          <w:marTop w:val="200"/>
          <w:marBottom w:val="0"/>
          <w:divBdr>
            <w:top w:val="none" w:sz="0" w:space="0" w:color="auto"/>
            <w:left w:val="none" w:sz="0" w:space="0" w:color="auto"/>
            <w:bottom w:val="none" w:sz="0" w:space="0" w:color="auto"/>
            <w:right w:val="none" w:sz="0" w:space="0" w:color="auto"/>
          </w:divBdr>
        </w:div>
        <w:div w:id="1847787848">
          <w:marLeft w:val="360"/>
          <w:marRight w:val="0"/>
          <w:marTop w:val="200"/>
          <w:marBottom w:val="0"/>
          <w:divBdr>
            <w:top w:val="none" w:sz="0" w:space="0" w:color="auto"/>
            <w:left w:val="none" w:sz="0" w:space="0" w:color="auto"/>
            <w:bottom w:val="none" w:sz="0" w:space="0" w:color="auto"/>
            <w:right w:val="none" w:sz="0" w:space="0" w:color="auto"/>
          </w:divBdr>
        </w:div>
        <w:div w:id="238834062">
          <w:marLeft w:val="360"/>
          <w:marRight w:val="0"/>
          <w:marTop w:val="200"/>
          <w:marBottom w:val="0"/>
          <w:divBdr>
            <w:top w:val="none" w:sz="0" w:space="0" w:color="auto"/>
            <w:left w:val="none" w:sz="0" w:space="0" w:color="auto"/>
            <w:bottom w:val="none" w:sz="0" w:space="0" w:color="auto"/>
            <w:right w:val="none" w:sz="0" w:space="0" w:color="auto"/>
          </w:divBdr>
        </w:div>
      </w:divsChild>
    </w:div>
    <w:div w:id="1386173317">
      <w:bodyDiv w:val="1"/>
      <w:marLeft w:val="0"/>
      <w:marRight w:val="0"/>
      <w:marTop w:val="0"/>
      <w:marBottom w:val="0"/>
      <w:divBdr>
        <w:top w:val="none" w:sz="0" w:space="0" w:color="auto"/>
        <w:left w:val="none" w:sz="0" w:space="0" w:color="auto"/>
        <w:bottom w:val="none" w:sz="0" w:space="0" w:color="auto"/>
        <w:right w:val="none" w:sz="0" w:space="0" w:color="auto"/>
      </w:divBdr>
      <w:divsChild>
        <w:div w:id="952131665">
          <w:marLeft w:val="360"/>
          <w:marRight w:val="0"/>
          <w:marTop w:val="200"/>
          <w:marBottom w:val="0"/>
          <w:divBdr>
            <w:top w:val="none" w:sz="0" w:space="0" w:color="auto"/>
            <w:left w:val="none" w:sz="0" w:space="0" w:color="auto"/>
            <w:bottom w:val="none" w:sz="0" w:space="0" w:color="auto"/>
            <w:right w:val="none" w:sz="0" w:space="0" w:color="auto"/>
          </w:divBdr>
        </w:div>
        <w:div w:id="2016568683">
          <w:marLeft w:val="360"/>
          <w:marRight w:val="0"/>
          <w:marTop w:val="200"/>
          <w:marBottom w:val="0"/>
          <w:divBdr>
            <w:top w:val="none" w:sz="0" w:space="0" w:color="auto"/>
            <w:left w:val="none" w:sz="0" w:space="0" w:color="auto"/>
            <w:bottom w:val="none" w:sz="0" w:space="0" w:color="auto"/>
            <w:right w:val="none" w:sz="0" w:space="0" w:color="auto"/>
          </w:divBdr>
        </w:div>
        <w:div w:id="961233416">
          <w:marLeft w:val="360"/>
          <w:marRight w:val="0"/>
          <w:marTop w:val="200"/>
          <w:marBottom w:val="0"/>
          <w:divBdr>
            <w:top w:val="none" w:sz="0" w:space="0" w:color="auto"/>
            <w:left w:val="none" w:sz="0" w:space="0" w:color="auto"/>
            <w:bottom w:val="none" w:sz="0" w:space="0" w:color="auto"/>
            <w:right w:val="none" w:sz="0" w:space="0" w:color="auto"/>
          </w:divBdr>
        </w:div>
      </w:divsChild>
    </w:div>
    <w:div w:id="1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203060167">
          <w:marLeft w:val="360"/>
          <w:marRight w:val="0"/>
          <w:marTop w:val="200"/>
          <w:marBottom w:val="0"/>
          <w:divBdr>
            <w:top w:val="none" w:sz="0" w:space="0" w:color="auto"/>
            <w:left w:val="none" w:sz="0" w:space="0" w:color="auto"/>
            <w:bottom w:val="none" w:sz="0" w:space="0" w:color="auto"/>
            <w:right w:val="none" w:sz="0" w:space="0" w:color="auto"/>
          </w:divBdr>
        </w:div>
        <w:div w:id="1543832428">
          <w:marLeft w:val="360"/>
          <w:marRight w:val="0"/>
          <w:marTop w:val="200"/>
          <w:marBottom w:val="0"/>
          <w:divBdr>
            <w:top w:val="none" w:sz="0" w:space="0" w:color="auto"/>
            <w:left w:val="none" w:sz="0" w:space="0" w:color="auto"/>
            <w:bottom w:val="none" w:sz="0" w:space="0" w:color="auto"/>
            <w:right w:val="none" w:sz="0" w:space="0" w:color="auto"/>
          </w:divBdr>
        </w:div>
      </w:divsChild>
    </w:div>
    <w:div w:id="1467702301">
      <w:bodyDiv w:val="1"/>
      <w:marLeft w:val="0"/>
      <w:marRight w:val="0"/>
      <w:marTop w:val="0"/>
      <w:marBottom w:val="0"/>
      <w:divBdr>
        <w:top w:val="none" w:sz="0" w:space="0" w:color="auto"/>
        <w:left w:val="none" w:sz="0" w:space="0" w:color="auto"/>
        <w:bottom w:val="none" w:sz="0" w:space="0" w:color="auto"/>
        <w:right w:val="none" w:sz="0" w:space="0" w:color="auto"/>
      </w:divBdr>
    </w:div>
    <w:div w:id="1588884687">
      <w:bodyDiv w:val="1"/>
      <w:marLeft w:val="0"/>
      <w:marRight w:val="0"/>
      <w:marTop w:val="0"/>
      <w:marBottom w:val="0"/>
      <w:divBdr>
        <w:top w:val="none" w:sz="0" w:space="0" w:color="auto"/>
        <w:left w:val="none" w:sz="0" w:space="0" w:color="auto"/>
        <w:bottom w:val="none" w:sz="0" w:space="0" w:color="auto"/>
        <w:right w:val="none" w:sz="0" w:space="0" w:color="auto"/>
      </w:divBdr>
    </w:div>
    <w:div w:id="1594246118">
      <w:bodyDiv w:val="1"/>
      <w:marLeft w:val="0"/>
      <w:marRight w:val="0"/>
      <w:marTop w:val="0"/>
      <w:marBottom w:val="0"/>
      <w:divBdr>
        <w:top w:val="none" w:sz="0" w:space="0" w:color="auto"/>
        <w:left w:val="none" w:sz="0" w:space="0" w:color="auto"/>
        <w:bottom w:val="none" w:sz="0" w:space="0" w:color="auto"/>
        <w:right w:val="none" w:sz="0" w:space="0" w:color="auto"/>
      </w:divBdr>
    </w:div>
    <w:div w:id="1815444778">
      <w:bodyDiv w:val="1"/>
      <w:marLeft w:val="0"/>
      <w:marRight w:val="0"/>
      <w:marTop w:val="0"/>
      <w:marBottom w:val="0"/>
      <w:divBdr>
        <w:top w:val="none" w:sz="0" w:space="0" w:color="auto"/>
        <w:left w:val="none" w:sz="0" w:space="0" w:color="auto"/>
        <w:bottom w:val="none" w:sz="0" w:space="0" w:color="auto"/>
        <w:right w:val="none" w:sz="0" w:space="0" w:color="auto"/>
      </w:divBdr>
      <w:divsChild>
        <w:div w:id="1026638591">
          <w:marLeft w:val="360"/>
          <w:marRight w:val="0"/>
          <w:marTop w:val="200"/>
          <w:marBottom w:val="0"/>
          <w:divBdr>
            <w:top w:val="none" w:sz="0" w:space="0" w:color="auto"/>
            <w:left w:val="none" w:sz="0" w:space="0" w:color="auto"/>
            <w:bottom w:val="none" w:sz="0" w:space="0" w:color="auto"/>
            <w:right w:val="none" w:sz="0" w:space="0" w:color="auto"/>
          </w:divBdr>
        </w:div>
        <w:div w:id="1771706183">
          <w:marLeft w:val="360"/>
          <w:marRight w:val="0"/>
          <w:marTop w:val="200"/>
          <w:marBottom w:val="0"/>
          <w:divBdr>
            <w:top w:val="none" w:sz="0" w:space="0" w:color="auto"/>
            <w:left w:val="none" w:sz="0" w:space="0" w:color="auto"/>
            <w:bottom w:val="none" w:sz="0" w:space="0" w:color="auto"/>
            <w:right w:val="none" w:sz="0" w:space="0" w:color="auto"/>
          </w:divBdr>
        </w:div>
        <w:div w:id="1663000645">
          <w:marLeft w:val="360"/>
          <w:marRight w:val="0"/>
          <w:marTop w:val="200"/>
          <w:marBottom w:val="0"/>
          <w:divBdr>
            <w:top w:val="none" w:sz="0" w:space="0" w:color="auto"/>
            <w:left w:val="none" w:sz="0" w:space="0" w:color="auto"/>
            <w:bottom w:val="none" w:sz="0" w:space="0" w:color="auto"/>
            <w:right w:val="none" w:sz="0" w:space="0" w:color="auto"/>
          </w:divBdr>
        </w:div>
      </w:divsChild>
    </w:div>
    <w:div w:id="1822041546">
      <w:bodyDiv w:val="1"/>
      <w:marLeft w:val="0"/>
      <w:marRight w:val="0"/>
      <w:marTop w:val="0"/>
      <w:marBottom w:val="0"/>
      <w:divBdr>
        <w:top w:val="none" w:sz="0" w:space="0" w:color="auto"/>
        <w:left w:val="none" w:sz="0" w:space="0" w:color="auto"/>
        <w:bottom w:val="none" w:sz="0" w:space="0" w:color="auto"/>
        <w:right w:val="none" w:sz="0" w:space="0" w:color="auto"/>
      </w:divBdr>
    </w:div>
    <w:div w:id="1831753568">
      <w:bodyDiv w:val="1"/>
      <w:marLeft w:val="0"/>
      <w:marRight w:val="0"/>
      <w:marTop w:val="0"/>
      <w:marBottom w:val="0"/>
      <w:divBdr>
        <w:top w:val="none" w:sz="0" w:space="0" w:color="auto"/>
        <w:left w:val="none" w:sz="0" w:space="0" w:color="auto"/>
        <w:bottom w:val="none" w:sz="0" w:space="0" w:color="auto"/>
        <w:right w:val="none" w:sz="0" w:space="0" w:color="auto"/>
      </w:divBdr>
    </w:div>
    <w:div w:id="1833837119">
      <w:bodyDiv w:val="1"/>
      <w:marLeft w:val="0"/>
      <w:marRight w:val="0"/>
      <w:marTop w:val="0"/>
      <w:marBottom w:val="0"/>
      <w:divBdr>
        <w:top w:val="none" w:sz="0" w:space="0" w:color="auto"/>
        <w:left w:val="none" w:sz="0" w:space="0" w:color="auto"/>
        <w:bottom w:val="none" w:sz="0" w:space="0" w:color="auto"/>
        <w:right w:val="none" w:sz="0" w:space="0" w:color="auto"/>
      </w:divBdr>
    </w:div>
    <w:div w:id="1885172598">
      <w:bodyDiv w:val="1"/>
      <w:marLeft w:val="0"/>
      <w:marRight w:val="0"/>
      <w:marTop w:val="0"/>
      <w:marBottom w:val="0"/>
      <w:divBdr>
        <w:top w:val="none" w:sz="0" w:space="0" w:color="auto"/>
        <w:left w:val="none" w:sz="0" w:space="0" w:color="auto"/>
        <w:bottom w:val="none" w:sz="0" w:space="0" w:color="auto"/>
        <w:right w:val="none" w:sz="0" w:space="0" w:color="auto"/>
      </w:divBdr>
      <w:divsChild>
        <w:div w:id="1128669810">
          <w:marLeft w:val="0"/>
          <w:marRight w:val="0"/>
          <w:marTop w:val="0"/>
          <w:marBottom w:val="0"/>
          <w:divBdr>
            <w:top w:val="none" w:sz="0" w:space="0" w:color="auto"/>
            <w:left w:val="none" w:sz="0" w:space="0" w:color="auto"/>
            <w:bottom w:val="none" w:sz="0" w:space="0" w:color="auto"/>
            <w:right w:val="none" w:sz="0" w:space="0" w:color="auto"/>
          </w:divBdr>
          <w:divsChild>
            <w:div w:id="1133016524">
              <w:marLeft w:val="0"/>
              <w:marRight w:val="0"/>
              <w:marTop w:val="0"/>
              <w:marBottom w:val="0"/>
              <w:divBdr>
                <w:top w:val="none" w:sz="0" w:space="0" w:color="auto"/>
                <w:left w:val="none" w:sz="0" w:space="0" w:color="auto"/>
                <w:bottom w:val="none" w:sz="0" w:space="0" w:color="auto"/>
                <w:right w:val="none" w:sz="0" w:space="0" w:color="auto"/>
              </w:divBdr>
            </w:div>
            <w:div w:id="740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39">
      <w:bodyDiv w:val="1"/>
      <w:marLeft w:val="0"/>
      <w:marRight w:val="0"/>
      <w:marTop w:val="0"/>
      <w:marBottom w:val="0"/>
      <w:divBdr>
        <w:top w:val="none" w:sz="0" w:space="0" w:color="auto"/>
        <w:left w:val="none" w:sz="0" w:space="0" w:color="auto"/>
        <w:bottom w:val="none" w:sz="0" w:space="0" w:color="auto"/>
        <w:right w:val="none" w:sz="0" w:space="0" w:color="auto"/>
      </w:divBdr>
    </w:div>
    <w:div w:id="1959290201">
      <w:bodyDiv w:val="1"/>
      <w:marLeft w:val="0"/>
      <w:marRight w:val="0"/>
      <w:marTop w:val="0"/>
      <w:marBottom w:val="0"/>
      <w:divBdr>
        <w:top w:val="none" w:sz="0" w:space="0" w:color="auto"/>
        <w:left w:val="none" w:sz="0" w:space="0" w:color="auto"/>
        <w:bottom w:val="none" w:sz="0" w:space="0" w:color="auto"/>
        <w:right w:val="none" w:sz="0" w:space="0" w:color="auto"/>
      </w:divBdr>
    </w:div>
    <w:div w:id="1973517676">
      <w:bodyDiv w:val="1"/>
      <w:marLeft w:val="0"/>
      <w:marRight w:val="0"/>
      <w:marTop w:val="0"/>
      <w:marBottom w:val="0"/>
      <w:divBdr>
        <w:top w:val="none" w:sz="0" w:space="0" w:color="auto"/>
        <w:left w:val="none" w:sz="0" w:space="0" w:color="auto"/>
        <w:bottom w:val="none" w:sz="0" w:space="0" w:color="auto"/>
        <w:right w:val="none" w:sz="0" w:space="0" w:color="auto"/>
      </w:divBdr>
      <w:divsChild>
        <w:div w:id="1858613185">
          <w:marLeft w:val="0"/>
          <w:marRight w:val="0"/>
          <w:marTop w:val="0"/>
          <w:marBottom w:val="0"/>
          <w:divBdr>
            <w:top w:val="none" w:sz="0" w:space="0" w:color="auto"/>
            <w:left w:val="none" w:sz="0" w:space="0" w:color="auto"/>
            <w:bottom w:val="none" w:sz="0" w:space="0" w:color="auto"/>
            <w:right w:val="none" w:sz="0" w:space="0" w:color="auto"/>
          </w:divBdr>
        </w:div>
        <w:div w:id="61486986">
          <w:marLeft w:val="0"/>
          <w:marRight w:val="0"/>
          <w:marTop w:val="0"/>
          <w:marBottom w:val="0"/>
          <w:divBdr>
            <w:top w:val="none" w:sz="0" w:space="0" w:color="auto"/>
            <w:left w:val="none" w:sz="0" w:space="0" w:color="auto"/>
            <w:bottom w:val="none" w:sz="0" w:space="0" w:color="auto"/>
            <w:right w:val="none" w:sz="0" w:space="0" w:color="auto"/>
          </w:divBdr>
        </w:div>
        <w:div w:id="1026835502">
          <w:marLeft w:val="0"/>
          <w:marRight w:val="0"/>
          <w:marTop w:val="0"/>
          <w:marBottom w:val="0"/>
          <w:divBdr>
            <w:top w:val="none" w:sz="0" w:space="0" w:color="auto"/>
            <w:left w:val="none" w:sz="0" w:space="0" w:color="auto"/>
            <w:bottom w:val="none" w:sz="0" w:space="0" w:color="auto"/>
            <w:right w:val="none" w:sz="0" w:space="0" w:color="auto"/>
          </w:divBdr>
        </w:div>
        <w:div w:id="1075126536">
          <w:marLeft w:val="0"/>
          <w:marRight w:val="0"/>
          <w:marTop w:val="0"/>
          <w:marBottom w:val="0"/>
          <w:divBdr>
            <w:top w:val="none" w:sz="0" w:space="0" w:color="auto"/>
            <w:left w:val="none" w:sz="0" w:space="0" w:color="auto"/>
            <w:bottom w:val="none" w:sz="0" w:space="0" w:color="auto"/>
            <w:right w:val="none" w:sz="0" w:space="0" w:color="auto"/>
          </w:divBdr>
        </w:div>
        <w:div w:id="1172647437">
          <w:marLeft w:val="0"/>
          <w:marRight w:val="0"/>
          <w:marTop w:val="0"/>
          <w:marBottom w:val="0"/>
          <w:divBdr>
            <w:top w:val="none" w:sz="0" w:space="0" w:color="auto"/>
            <w:left w:val="none" w:sz="0" w:space="0" w:color="auto"/>
            <w:bottom w:val="none" w:sz="0" w:space="0" w:color="auto"/>
            <w:right w:val="none" w:sz="0" w:space="0" w:color="auto"/>
          </w:divBdr>
        </w:div>
        <w:div w:id="851842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ed.gov/idea/regs/b/d/300.321/f" TargetMode="External"/><Relationship Id="rId18" Type="http://schemas.openxmlformats.org/officeDocument/2006/relationships/hyperlink" Target="https://sites.ed.gov/idea/regs/b/b/300.115/a" TargetMode="External"/><Relationship Id="rId26" Type="http://schemas.openxmlformats.org/officeDocument/2006/relationships/hyperlink" Target="https://ectacenter.org/topics/inclusion/indicators.as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tes.ed.gov/idea/regs/b/d/300.320/a/5" TargetMode="External"/><Relationship Id="rId34" Type="http://schemas.openxmlformats.org/officeDocument/2006/relationships/hyperlink" Target="https://www2.ed.gov/policy/speced/guid/idea/memosdcltrs/preschool-lre-dcl-1-10-17.pdf" TargetMode="External"/><Relationship Id="rId7" Type="http://schemas.openxmlformats.org/officeDocument/2006/relationships/webSettings" Target="webSettings.xml"/><Relationship Id="rId12" Type="http://schemas.openxmlformats.org/officeDocument/2006/relationships/hyperlink" Target="https://sites.ed.gov/idea/regs/b/d/300.321/f" TargetMode="External"/><Relationship Id="rId17" Type="http://schemas.openxmlformats.org/officeDocument/2006/relationships/hyperlink" Target="https://sites.ed.gov/idea/regs/b/b/300.114/a/2" TargetMode="External"/><Relationship Id="rId25" Type="http://schemas.openxmlformats.org/officeDocument/2006/relationships/hyperlink" Target="https://ectacenter.org/" TargetMode="External"/><Relationship Id="rId33" Type="http://schemas.openxmlformats.org/officeDocument/2006/relationships/hyperlink" Target="https://sites.ed.gov/idea/statuteregulation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ed.gov/idea/regs/b/d/300.320/a/2" TargetMode="External"/><Relationship Id="rId20" Type="http://schemas.openxmlformats.org/officeDocument/2006/relationships/hyperlink" Target="https://sites.ed.gov/idea/regs/b/d/300.320/a/4" TargetMode="External"/><Relationship Id="rId29" Type="http://schemas.openxmlformats.org/officeDocument/2006/relationships/hyperlink" Target="https://ectacenter.org/sec619/300regs.a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ov/idea/regs/b/d/300.322" TargetMode="External"/><Relationship Id="rId24" Type="http://schemas.openxmlformats.org/officeDocument/2006/relationships/hyperlink" Target="https://sites.ed.gov/idea/regs/b/e/300.503" TargetMode="External"/><Relationship Id="rId32" Type="http://schemas.openxmlformats.org/officeDocument/2006/relationships/hyperlink" Target="https://sites.ed.gov/idea/" TargetMode="External"/><Relationship Id="rId37" Type="http://schemas.openxmlformats.org/officeDocument/2006/relationships/hyperlink" Target="https://www2.ed.gov/policy/speced/guid/earlylearning/joint-statement-full-text.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tes.ed.gov/idea/regs/b/d/300.320/a/1" TargetMode="External"/><Relationship Id="rId23" Type="http://schemas.openxmlformats.org/officeDocument/2006/relationships/hyperlink" Target="https://sites.ed.gov/idea/regs/b/b/300.116" TargetMode="External"/><Relationship Id="rId28" Type="http://schemas.openxmlformats.org/officeDocument/2006/relationships/hyperlink" Target="https://ectacenter.org/sec619/keyprinciples.asp" TargetMode="External"/><Relationship Id="rId36" Type="http://schemas.openxmlformats.org/officeDocument/2006/relationships/hyperlink" Target="https://www2.ed.gov/policy/speced/guid/earlylearning/joint-statement-full-text.pdf" TargetMode="External"/><Relationship Id="rId10" Type="http://schemas.openxmlformats.org/officeDocument/2006/relationships/hyperlink" Target="https://sites.ed.gov/idea/files/policy_speced_guid_idea_memosdcltrs_preschool-lre-dcl-1-10-17.pdf" TargetMode="External"/><Relationship Id="rId19" Type="http://schemas.openxmlformats.org/officeDocument/2006/relationships/hyperlink" Target="https://sites.ed.gov/idea/regs/b/b/300.116" TargetMode="External"/><Relationship Id="rId31" Type="http://schemas.openxmlformats.org/officeDocument/2006/relationships/hyperlink" Target="https://ectacenter.org/dec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tes.ed.gov/idea/regs/b/d/300.304" TargetMode="External"/><Relationship Id="rId22" Type="http://schemas.openxmlformats.org/officeDocument/2006/relationships/hyperlink" Target="https://sites.ed.gov/idea/regs/b/a/300.34/a" TargetMode="External"/><Relationship Id="rId27" Type="http://schemas.openxmlformats.org/officeDocument/2006/relationships/hyperlink" Target="https://ectacenter.org/topics/inclusion/" TargetMode="External"/><Relationship Id="rId30" Type="http://schemas.openxmlformats.org/officeDocument/2006/relationships/hyperlink" Target="https://www.dec-sped.org/dec-recommended-practices" TargetMode="External"/><Relationship Id="rId35" Type="http://schemas.openxmlformats.org/officeDocument/2006/relationships/hyperlink" Target="https://www2.ed.gov/policy/speced/guid/idea/memosdcltrs/preschool-lre-dcl-1-1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9FC4C8E81C74EA077FD4A6A616E7F" ma:contentTypeVersion="9" ma:contentTypeDescription="Create a new document." ma:contentTypeScope="" ma:versionID="7d36de852f076831895def9cff957c4d">
  <xsd:schema xmlns:xsd="http://www.w3.org/2001/XMLSchema" xmlns:xs="http://www.w3.org/2001/XMLSchema" xmlns:p="http://schemas.microsoft.com/office/2006/metadata/properties" xmlns:ns2="8d8b1221-cb47-43e5-997b-7d0bdebf637a" xmlns:ns3="09c8a845-e7a6-41fb-9590-158bae58e4d1" targetNamespace="http://schemas.microsoft.com/office/2006/metadata/properties" ma:root="true" ma:fieldsID="d4ba5b049190e5f07e9473277b474900" ns2:_="" ns3:_="">
    <xsd:import namespace="8d8b1221-cb47-43e5-997b-7d0bdebf637a"/>
    <xsd:import namespace="09c8a845-e7a6-41fb-9590-158bae58e4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1221-cb47-43e5-997b-7d0bdebf63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a845-e7a6-41fb-9590-158bae58e4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59F3D-87B1-44ED-A59A-A1190925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1221-cb47-43e5-997b-7d0bdebf637a"/>
    <ds:schemaRef ds:uri="09c8a845-e7a6-41fb-9590-158bae58e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AAF78-9869-4389-9B3D-035666CEAAC8}">
  <ds:schemaRefs>
    <ds:schemaRef ds:uri="http://schemas.microsoft.com/sharepoint/v3/contenttype/forms"/>
  </ds:schemaRefs>
</ds:datastoreItem>
</file>

<file path=customXml/itemProps3.xml><?xml version="1.0" encoding="utf-8"?>
<ds:datastoreItem xmlns:ds="http://schemas.openxmlformats.org/officeDocument/2006/customXml" ds:itemID="{E2D3FE6B-AD25-466C-91D8-CAA65B0E5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Cate, Debbie</cp:lastModifiedBy>
  <cp:revision>2</cp:revision>
  <cp:lastPrinted>2016-06-16T19:34:00Z</cp:lastPrinted>
  <dcterms:created xsi:type="dcterms:W3CDTF">2021-01-14T17:16:00Z</dcterms:created>
  <dcterms:modified xsi:type="dcterms:W3CDTF">2021-01-14T17:16:00Z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0x010100C2C9FC4C8E81C74EA077FD4A6A616E7F</vt:lpwstr>
  </property>
</Properties>
</file>